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F265B6" w14:textId="77777777" w:rsidR="00FC67C3" w:rsidRDefault="00FC67C3">
      <w:pPr>
        <w:rPr>
          <w:b/>
          <w:bCs/>
          <w:caps/>
          <w:sz w:val="16"/>
          <w:szCs w:val="16"/>
        </w:rPr>
      </w:pPr>
      <w:bookmarkStart w:id="0" w:name="_GoBack"/>
      <w:bookmarkEnd w:id="0"/>
    </w:p>
    <w:p w14:paraId="1134EFD4" w14:textId="77777777" w:rsidR="00FC67C3" w:rsidRDefault="00FC67C3">
      <w:pPr>
        <w:rPr>
          <w:b/>
          <w:sz w:val="22"/>
          <w:szCs w:val="22"/>
        </w:rPr>
      </w:pPr>
    </w:p>
    <w:p w14:paraId="36E16378" w14:textId="77777777" w:rsidR="00FC67C3" w:rsidRDefault="00FC67C3">
      <w:pPr>
        <w:jc w:val="center"/>
        <w:rPr>
          <w:b/>
          <w:sz w:val="22"/>
          <w:szCs w:val="22"/>
        </w:rPr>
      </w:pPr>
      <w:r>
        <w:rPr>
          <w:b/>
          <w:sz w:val="22"/>
          <w:szCs w:val="22"/>
        </w:rPr>
        <w:t>SÚHRN CHARAKTERISTICKÝCH VLASTNOSTÍ LIEKU</w:t>
      </w:r>
    </w:p>
    <w:p w14:paraId="7FB1C90F" w14:textId="77777777" w:rsidR="00FC67C3" w:rsidRDefault="00FC67C3">
      <w:pPr>
        <w:jc w:val="center"/>
        <w:rPr>
          <w:b/>
          <w:sz w:val="22"/>
          <w:szCs w:val="22"/>
        </w:rPr>
      </w:pPr>
    </w:p>
    <w:p w14:paraId="627B35D0" w14:textId="77777777" w:rsidR="00FC67C3" w:rsidRDefault="00FC67C3">
      <w:pPr>
        <w:jc w:val="center"/>
        <w:rPr>
          <w:b/>
          <w:sz w:val="22"/>
          <w:szCs w:val="22"/>
        </w:rPr>
      </w:pPr>
    </w:p>
    <w:p w14:paraId="2BCC6606" w14:textId="77777777" w:rsidR="00FC67C3" w:rsidRDefault="00FC67C3">
      <w:pPr>
        <w:rPr>
          <w:b/>
          <w:sz w:val="22"/>
          <w:szCs w:val="22"/>
        </w:rPr>
      </w:pPr>
    </w:p>
    <w:p w14:paraId="5B72B883" w14:textId="77777777" w:rsidR="00FC67C3" w:rsidRDefault="00FC67C3">
      <w:pPr>
        <w:rPr>
          <w:b/>
          <w:sz w:val="22"/>
          <w:szCs w:val="22"/>
        </w:rPr>
      </w:pPr>
      <w:r>
        <w:rPr>
          <w:b/>
          <w:sz w:val="22"/>
          <w:szCs w:val="22"/>
        </w:rPr>
        <w:t>1.</w:t>
      </w:r>
      <w:r>
        <w:rPr>
          <w:b/>
          <w:sz w:val="22"/>
          <w:szCs w:val="22"/>
        </w:rPr>
        <w:tab/>
        <w:t>NÁZOV LIEKU</w:t>
      </w:r>
    </w:p>
    <w:p w14:paraId="5B1D6C9A" w14:textId="77777777" w:rsidR="00FC67C3" w:rsidRDefault="00FC67C3">
      <w:pPr>
        <w:rPr>
          <w:b/>
          <w:sz w:val="22"/>
          <w:szCs w:val="22"/>
        </w:rPr>
      </w:pPr>
      <w:r>
        <w:rPr>
          <w:b/>
          <w:sz w:val="22"/>
          <w:szCs w:val="22"/>
        </w:rPr>
        <w:tab/>
      </w:r>
    </w:p>
    <w:p w14:paraId="12DC492F" w14:textId="77777777" w:rsidR="00FC67C3" w:rsidRDefault="00FC67C3">
      <w:pPr>
        <w:rPr>
          <w:sz w:val="22"/>
          <w:szCs w:val="22"/>
        </w:rPr>
      </w:pPr>
      <w:proofErr w:type="spellStart"/>
      <w:r>
        <w:rPr>
          <w:sz w:val="22"/>
          <w:szCs w:val="22"/>
        </w:rPr>
        <w:t>Anastrozole</w:t>
      </w:r>
      <w:proofErr w:type="spellEnd"/>
      <w:r>
        <w:rPr>
          <w:sz w:val="22"/>
          <w:szCs w:val="22"/>
        </w:rPr>
        <w:t xml:space="preserve"> </w:t>
      </w:r>
      <w:proofErr w:type="spellStart"/>
      <w:r>
        <w:rPr>
          <w:sz w:val="22"/>
          <w:szCs w:val="22"/>
        </w:rPr>
        <w:t>Pharmacenter</w:t>
      </w:r>
      <w:proofErr w:type="spellEnd"/>
      <w:r>
        <w:rPr>
          <w:sz w:val="22"/>
          <w:szCs w:val="22"/>
        </w:rPr>
        <w:t xml:space="preserve"> </w:t>
      </w:r>
    </w:p>
    <w:p w14:paraId="27F03F81" w14:textId="77777777" w:rsidR="00FC67C3" w:rsidRDefault="00FC67C3">
      <w:pPr>
        <w:rPr>
          <w:sz w:val="22"/>
          <w:szCs w:val="22"/>
        </w:rPr>
      </w:pPr>
      <w:r>
        <w:rPr>
          <w:sz w:val="22"/>
          <w:szCs w:val="22"/>
        </w:rPr>
        <w:t>1 mg filmom obalené tablety</w:t>
      </w:r>
    </w:p>
    <w:p w14:paraId="46C110E1" w14:textId="77777777" w:rsidR="00FC67C3" w:rsidRDefault="00FC67C3">
      <w:pPr>
        <w:rPr>
          <w:sz w:val="22"/>
          <w:szCs w:val="22"/>
        </w:rPr>
      </w:pPr>
    </w:p>
    <w:p w14:paraId="77B1597B" w14:textId="77777777" w:rsidR="00FC67C3" w:rsidRDefault="00FC67C3">
      <w:pPr>
        <w:rPr>
          <w:sz w:val="22"/>
          <w:szCs w:val="22"/>
        </w:rPr>
      </w:pPr>
    </w:p>
    <w:p w14:paraId="69C2CA67" w14:textId="77777777" w:rsidR="00FC67C3" w:rsidRDefault="00FC67C3">
      <w:pPr>
        <w:rPr>
          <w:b/>
          <w:sz w:val="22"/>
          <w:szCs w:val="22"/>
        </w:rPr>
      </w:pPr>
      <w:r>
        <w:rPr>
          <w:b/>
          <w:sz w:val="22"/>
          <w:szCs w:val="22"/>
        </w:rPr>
        <w:t>2.</w:t>
      </w:r>
      <w:r>
        <w:rPr>
          <w:b/>
          <w:sz w:val="22"/>
          <w:szCs w:val="22"/>
        </w:rPr>
        <w:tab/>
        <w:t xml:space="preserve">KVALITATÍVNE A KVANTITATÍVNE ZLOŽENIE </w:t>
      </w:r>
    </w:p>
    <w:p w14:paraId="70DBC208" w14:textId="77777777" w:rsidR="00FC67C3" w:rsidRDefault="00FC67C3">
      <w:pPr>
        <w:rPr>
          <w:b/>
          <w:sz w:val="22"/>
          <w:szCs w:val="22"/>
        </w:rPr>
      </w:pPr>
      <w:r>
        <w:rPr>
          <w:b/>
          <w:sz w:val="22"/>
          <w:szCs w:val="22"/>
        </w:rPr>
        <w:tab/>
      </w:r>
    </w:p>
    <w:p w14:paraId="39AFAD56" w14:textId="77777777" w:rsidR="00FC67C3" w:rsidRDefault="00FC67C3">
      <w:pPr>
        <w:rPr>
          <w:sz w:val="22"/>
          <w:szCs w:val="22"/>
        </w:rPr>
      </w:pPr>
      <w:r>
        <w:rPr>
          <w:sz w:val="22"/>
          <w:szCs w:val="22"/>
        </w:rPr>
        <w:t xml:space="preserve">Každá tableta obsahuje 1 mg </w:t>
      </w:r>
      <w:proofErr w:type="spellStart"/>
      <w:r>
        <w:rPr>
          <w:sz w:val="22"/>
          <w:szCs w:val="22"/>
        </w:rPr>
        <w:t>anastrozolu</w:t>
      </w:r>
      <w:proofErr w:type="spellEnd"/>
      <w:r>
        <w:rPr>
          <w:sz w:val="22"/>
          <w:szCs w:val="22"/>
        </w:rPr>
        <w:t>.</w:t>
      </w:r>
    </w:p>
    <w:p w14:paraId="23997C9C" w14:textId="77777777" w:rsidR="00FC67C3" w:rsidRDefault="00FC67C3">
      <w:pPr>
        <w:rPr>
          <w:sz w:val="22"/>
          <w:szCs w:val="22"/>
        </w:rPr>
      </w:pPr>
    </w:p>
    <w:p w14:paraId="524E2145" w14:textId="77777777" w:rsidR="00FC67C3" w:rsidRDefault="00FC67C3">
      <w:pPr>
        <w:rPr>
          <w:sz w:val="22"/>
          <w:szCs w:val="22"/>
        </w:rPr>
      </w:pPr>
      <w:r>
        <w:rPr>
          <w:sz w:val="22"/>
          <w:szCs w:val="22"/>
        </w:rPr>
        <w:t>Pomocná látka</w:t>
      </w:r>
      <w:r w:rsidR="00E52EB9">
        <w:rPr>
          <w:sz w:val="22"/>
          <w:szCs w:val="22"/>
        </w:rPr>
        <w:t xml:space="preserve"> so známym účinkom</w:t>
      </w:r>
      <w:r>
        <w:rPr>
          <w:sz w:val="22"/>
          <w:szCs w:val="22"/>
        </w:rPr>
        <w:t xml:space="preserve">: každá tableta obsahuje 93 mg </w:t>
      </w:r>
      <w:proofErr w:type="spellStart"/>
      <w:r>
        <w:rPr>
          <w:sz w:val="22"/>
          <w:szCs w:val="22"/>
        </w:rPr>
        <w:t>monohydrátu</w:t>
      </w:r>
      <w:proofErr w:type="spellEnd"/>
      <w:r>
        <w:rPr>
          <w:sz w:val="22"/>
          <w:szCs w:val="22"/>
        </w:rPr>
        <w:t xml:space="preserve"> laktózy</w:t>
      </w:r>
      <w:r w:rsidR="00E52EB9">
        <w:rPr>
          <w:sz w:val="22"/>
          <w:szCs w:val="22"/>
        </w:rPr>
        <w:t xml:space="preserve"> (pozri časť 4.4)</w:t>
      </w:r>
      <w:r>
        <w:rPr>
          <w:sz w:val="22"/>
          <w:szCs w:val="22"/>
        </w:rPr>
        <w:t>.</w:t>
      </w:r>
    </w:p>
    <w:p w14:paraId="1A5F418A" w14:textId="77777777" w:rsidR="00FC67C3" w:rsidRDefault="00FC67C3">
      <w:pPr>
        <w:rPr>
          <w:sz w:val="22"/>
          <w:szCs w:val="22"/>
        </w:rPr>
      </w:pPr>
    </w:p>
    <w:p w14:paraId="53620D12" w14:textId="77777777" w:rsidR="00FC67C3" w:rsidRDefault="00FC67C3">
      <w:pPr>
        <w:rPr>
          <w:sz w:val="22"/>
          <w:szCs w:val="22"/>
        </w:rPr>
      </w:pPr>
      <w:r>
        <w:rPr>
          <w:sz w:val="22"/>
          <w:szCs w:val="22"/>
        </w:rPr>
        <w:t>Úplný zoznam pomocných látok, pozri časť 6.1.</w:t>
      </w:r>
    </w:p>
    <w:p w14:paraId="739C3F62" w14:textId="77777777" w:rsidR="00FC67C3" w:rsidRDefault="00FC67C3">
      <w:pPr>
        <w:rPr>
          <w:sz w:val="22"/>
          <w:szCs w:val="22"/>
        </w:rPr>
      </w:pPr>
    </w:p>
    <w:p w14:paraId="4C387641" w14:textId="77777777" w:rsidR="00FC67C3" w:rsidRDefault="00FC67C3">
      <w:pPr>
        <w:rPr>
          <w:b/>
          <w:sz w:val="22"/>
          <w:szCs w:val="22"/>
        </w:rPr>
      </w:pPr>
    </w:p>
    <w:p w14:paraId="2D1D8BEF" w14:textId="77777777" w:rsidR="00FC67C3" w:rsidRDefault="00FC67C3">
      <w:pPr>
        <w:rPr>
          <w:b/>
          <w:sz w:val="22"/>
          <w:szCs w:val="22"/>
        </w:rPr>
      </w:pPr>
      <w:r>
        <w:rPr>
          <w:b/>
          <w:sz w:val="22"/>
          <w:szCs w:val="22"/>
        </w:rPr>
        <w:t>3.</w:t>
      </w:r>
      <w:r>
        <w:rPr>
          <w:b/>
          <w:sz w:val="22"/>
          <w:szCs w:val="22"/>
        </w:rPr>
        <w:tab/>
        <w:t>LIEKOVÁ FORMA</w:t>
      </w:r>
    </w:p>
    <w:p w14:paraId="618E0E03" w14:textId="77777777" w:rsidR="00FC67C3" w:rsidRDefault="00FC67C3">
      <w:pPr>
        <w:rPr>
          <w:sz w:val="22"/>
          <w:szCs w:val="22"/>
        </w:rPr>
      </w:pPr>
      <w:r>
        <w:rPr>
          <w:sz w:val="22"/>
          <w:szCs w:val="22"/>
        </w:rPr>
        <w:tab/>
      </w:r>
    </w:p>
    <w:p w14:paraId="21BC8027" w14:textId="77777777" w:rsidR="00FC67C3" w:rsidRDefault="00FC67C3">
      <w:pPr>
        <w:rPr>
          <w:sz w:val="22"/>
          <w:szCs w:val="22"/>
        </w:rPr>
      </w:pPr>
      <w:r>
        <w:rPr>
          <w:sz w:val="22"/>
          <w:szCs w:val="22"/>
        </w:rPr>
        <w:t>Filmom obalená tableta.</w:t>
      </w:r>
    </w:p>
    <w:p w14:paraId="578D23B2" w14:textId="77777777" w:rsidR="00FC67C3" w:rsidRDefault="00FC67C3">
      <w:pPr>
        <w:rPr>
          <w:sz w:val="22"/>
          <w:szCs w:val="22"/>
        </w:rPr>
      </w:pPr>
    </w:p>
    <w:p w14:paraId="5C9F4119" w14:textId="77777777" w:rsidR="00FC67C3" w:rsidRDefault="00FC67C3">
      <w:pPr>
        <w:rPr>
          <w:sz w:val="22"/>
          <w:szCs w:val="22"/>
        </w:rPr>
      </w:pPr>
      <w:r>
        <w:rPr>
          <w:sz w:val="22"/>
          <w:szCs w:val="22"/>
        </w:rPr>
        <w:t>Biele, filmom obalené, okrúhle, bikonvexné tablety s označením „ANA“ a „1“ na jednej strane.</w:t>
      </w:r>
    </w:p>
    <w:p w14:paraId="64914953" w14:textId="77777777" w:rsidR="00FC67C3" w:rsidRDefault="00FC67C3">
      <w:pPr>
        <w:rPr>
          <w:sz w:val="22"/>
          <w:szCs w:val="22"/>
        </w:rPr>
      </w:pPr>
    </w:p>
    <w:p w14:paraId="34B6EEE9" w14:textId="77777777" w:rsidR="00FC67C3" w:rsidRDefault="00FC67C3">
      <w:pPr>
        <w:ind w:left="708"/>
        <w:rPr>
          <w:sz w:val="22"/>
          <w:szCs w:val="22"/>
        </w:rPr>
      </w:pPr>
    </w:p>
    <w:p w14:paraId="68F840DA" w14:textId="77777777" w:rsidR="00FC67C3" w:rsidRDefault="00FC67C3">
      <w:pPr>
        <w:rPr>
          <w:b/>
          <w:sz w:val="22"/>
          <w:szCs w:val="22"/>
        </w:rPr>
      </w:pPr>
      <w:r>
        <w:rPr>
          <w:b/>
          <w:sz w:val="22"/>
          <w:szCs w:val="22"/>
        </w:rPr>
        <w:t>4.</w:t>
      </w:r>
      <w:r>
        <w:rPr>
          <w:b/>
          <w:sz w:val="22"/>
          <w:szCs w:val="22"/>
        </w:rPr>
        <w:tab/>
        <w:t>KLINICKÉ ÚDAJE</w:t>
      </w:r>
    </w:p>
    <w:p w14:paraId="16DCCDBB" w14:textId="77777777" w:rsidR="00FC67C3" w:rsidRDefault="00FC67C3">
      <w:pPr>
        <w:rPr>
          <w:b/>
          <w:sz w:val="22"/>
          <w:szCs w:val="22"/>
        </w:rPr>
      </w:pPr>
    </w:p>
    <w:p w14:paraId="2FCD2CF1" w14:textId="77777777" w:rsidR="00FC67C3" w:rsidRDefault="00FC67C3">
      <w:pPr>
        <w:rPr>
          <w:b/>
          <w:sz w:val="22"/>
          <w:szCs w:val="22"/>
        </w:rPr>
      </w:pPr>
      <w:r>
        <w:rPr>
          <w:b/>
          <w:sz w:val="22"/>
          <w:szCs w:val="22"/>
        </w:rPr>
        <w:t>4.1</w:t>
      </w:r>
      <w:r>
        <w:rPr>
          <w:b/>
          <w:sz w:val="22"/>
          <w:szCs w:val="22"/>
        </w:rPr>
        <w:tab/>
        <w:t>Terapeutické indikácie</w:t>
      </w:r>
    </w:p>
    <w:p w14:paraId="6D41E141" w14:textId="77777777" w:rsidR="00FC67C3" w:rsidRDefault="00FC67C3">
      <w:pPr>
        <w:ind w:left="705"/>
        <w:rPr>
          <w:sz w:val="22"/>
          <w:szCs w:val="22"/>
        </w:rPr>
      </w:pPr>
    </w:p>
    <w:p w14:paraId="136B744D" w14:textId="77777777" w:rsidR="00FC67C3" w:rsidRDefault="00FC67C3" w:rsidP="002F32F0">
      <w:pPr>
        <w:numPr>
          <w:ilvl w:val="0"/>
          <w:numId w:val="7"/>
        </w:numPr>
        <w:rPr>
          <w:sz w:val="22"/>
          <w:szCs w:val="22"/>
        </w:rPr>
      </w:pPr>
      <w:r>
        <w:rPr>
          <w:sz w:val="22"/>
          <w:szCs w:val="22"/>
        </w:rPr>
        <w:t>Liečba pokročilého štádia rakoviny prsníka u </w:t>
      </w:r>
      <w:proofErr w:type="spellStart"/>
      <w:r>
        <w:rPr>
          <w:sz w:val="22"/>
          <w:szCs w:val="22"/>
        </w:rPr>
        <w:t>postmenopauzálnych</w:t>
      </w:r>
      <w:proofErr w:type="spellEnd"/>
      <w:r>
        <w:rPr>
          <w:sz w:val="22"/>
          <w:szCs w:val="22"/>
        </w:rPr>
        <w:t xml:space="preserve"> žien.</w:t>
      </w:r>
    </w:p>
    <w:p w14:paraId="1C5960DA" w14:textId="77777777" w:rsidR="00FC67C3" w:rsidRDefault="00FC67C3" w:rsidP="002F32F0">
      <w:pPr>
        <w:numPr>
          <w:ilvl w:val="0"/>
          <w:numId w:val="7"/>
        </w:numPr>
        <w:rPr>
          <w:sz w:val="22"/>
          <w:szCs w:val="22"/>
        </w:rPr>
      </w:pPr>
      <w:proofErr w:type="spellStart"/>
      <w:r>
        <w:rPr>
          <w:sz w:val="22"/>
          <w:szCs w:val="22"/>
        </w:rPr>
        <w:t>Adjuvantná</w:t>
      </w:r>
      <w:proofErr w:type="spellEnd"/>
      <w:r>
        <w:rPr>
          <w:sz w:val="22"/>
          <w:szCs w:val="22"/>
        </w:rPr>
        <w:t xml:space="preserve"> liečba včasného invazívneho štádia rakoviny prsníka u </w:t>
      </w:r>
      <w:proofErr w:type="spellStart"/>
      <w:r>
        <w:rPr>
          <w:sz w:val="22"/>
          <w:szCs w:val="22"/>
        </w:rPr>
        <w:t>postmenopauzálnych</w:t>
      </w:r>
      <w:proofErr w:type="spellEnd"/>
      <w:r>
        <w:rPr>
          <w:sz w:val="22"/>
          <w:szCs w:val="22"/>
        </w:rPr>
        <w:t xml:space="preserve"> žien s pozitívnymi hormonálnymi receptormi.</w:t>
      </w:r>
    </w:p>
    <w:p w14:paraId="2BE54B7C" w14:textId="77777777" w:rsidR="00FC67C3" w:rsidRDefault="00FC67C3" w:rsidP="002F32F0">
      <w:pPr>
        <w:numPr>
          <w:ilvl w:val="0"/>
          <w:numId w:val="8"/>
        </w:numPr>
        <w:rPr>
          <w:sz w:val="22"/>
          <w:szCs w:val="22"/>
        </w:rPr>
      </w:pPr>
      <w:proofErr w:type="spellStart"/>
      <w:r>
        <w:rPr>
          <w:sz w:val="22"/>
          <w:szCs w:val="22"/>
        </w:rPr>
        <w:t>Adjuvantná</w:t>
      </w:r>
      <w:proofErr w:type="spellEnd"/>
      <w:r>
        <w:rPr>
          <w:sz w:val="22"/>
          <w:szCs w:val="22"/>
        </w:rPr>
        <w:t xml:space="preserve"> liečba včasného štádia rakoviny prsníka u </w:t>
      </w:r>
      <w:proofErr w:type="spellStart"/>
      <w:r>
        <w:rPr>
          <w:sz w:val="22"/>
          <w:szCs w:val="22"/>
        </w:rPr>
        <w:t>postmenopauzálnych</w:t>
      </w:r>
      <w:proofErr w:type="spellEnd"/>
      <w:r>
        <w:rPr>
          <w:sz w:val="22"/>
          <w:szCs w:val="22"/>
        </w:rPr>
        <w:t xml:space="preserve"> žien s pozitívnymi hormonálnymi receptormi, ktoré boli 2 až 3 roky liečené </w:t>
      </w:r>
      <w:proofErr w:type="spellStart"/>
      <w:r>
        <w:rPr>
          <w:sz w:val="22"/>
          <w:szCs w:val="22"/>
        </w:rPr>
        <w:t>adjuvantným</w:t>
      </w:r>
      <w:proofErr w:type="spellEnd"/>
      <w:r>
        <w:rPr>
          <w:sz w:val="22"/>
          <w:szCs w:val="22"/>
        </w:rPr>
        <w:t xml:space="preserve"> </w:t>
      </w:r>
      <w:proofErr w:type="spellStart"/>
      <w:r>
        <w:rPr>
          <w:sz w:val="22"/>
          <w:szCs w:val="22"/>
        </w:rPr>
        <w:t>tamoxifénom</w:t>
      </w:r>
      <w:proofErr w:type="spellEnd"/>
      <w:r>
        <w:rPr>
          <w:sz w:val="22"/>
          <w:szCs w:val="22"/>
        </w:rPr>
        <w:t>.</w:t>
      </w:r>
    </w:p>
    <w:p w14:paraId="168DA80B" w14:textId="77777777" w:rsidR="00FC67C3" w:rsidRDefault="00FC67C3">
      <w:pPr>
        <w:ind w:left="705"/>
        <w:rPr>
          <w:sz w:val="22"/>
          <w:szCs w:val="22"/>
        </w:rPr>
      </w:pPr>
    </w:p>
    <w:p w14:paraId="53747939" w14:textId="77777777" w:rsidR="00FC67C3" w:rsidRDefault="00FC67C3">
      <w:pPr>
        <w:rPr>
          <w:b/>
          <w:sz w:val="22"/>
          <w:szCs w:val="22"/>
        </w:rPr>
      </w:pPr>
      <w:r>
        <w:rPr>
          <w:b/>
          <w:sz w:val="22"/>
          <w:szCs w:val="22"/>
        </w:rPr>
        <w:t>4.2</w:t>
      </w:r>
      <w:r>
        <w:rPr>
          <w:b/>
          <w:sz w:val="22"/>
          <w:szCs w:val="22"/>
        </w:rPr>
        <w:tab/>
        <w:t>Dávkovanie a spôsob podávania</w:t>
      </w:r>
    </w:p>
    <w:p w14:paraId="365B67A2" w14:textId="77777777" w:rsidR="00D7043B" w:rsidRDefault="00D7043B">
      <w:pPr>
        <w:rPr>
          <w:sz w:val="22"/>
          <w:szCs w:val="22"/>
        </w:rPr>
      </w:pPr>
    </w:p>
    <w:p w14:paraId="6BA38937" w14:textId="77777777" w:rsidR="00FC67C3" w:rsidRPr="002F32F0" w:rsidRDefault="00D7043B">
      <w:pPr>
        <w:rPr>
          <w:sz w:val="22"/>
          <w:szCs w:val="22"/>
          <w:u w:val="single"/>
        </w:rPr>
      </w:pPr>
      <w:r w:rsidRPr="002F32F0">
        <w:rPr>
          <w:sz w:val="22"/>
          <w:szCs w:val="22"/>
          <w:u w:val="single"/>
        </w:rPr>
        <w:t>Dávkovanie</w:t>
      </w:r>
    </w:p>
    <w:p w14:paraId="7BD3FB3D" w14:textId="77777777" w:rsidR="00FC67C3" w:rsidRPr="002F32F0" w:rsidRDefault="00FC67C3">
      <w:pPr>
        <w:rPr>
          <w:i/>
          <w:sz w:val="22"/>
          <w:szCs w:val="22"/>
          <w:u w:val="single"/>
        </w:rPr>
      </w:pPr>
      <w:r w:rsidRPr="002F32F0">
        <w:rPr>
          <w:i/>
          <w:sz w:val="22"/>
          <w:szCs w:val="22"/>
          <w:u w:val="single"/>
        </w:rPr>
        <w:t xml:space="preserve">Dospelé </w:t>
      </w:r>
      <w:r w:rsidR="00D7043B">
        <w:rPr>
          <w:i/>
          <w:sz w:val="22"/>
          <w:szCs w:val="22"/>
          <w:u w:val="single"/>
        </w:rPr>
        <w:t xml:space="preserve">pacientky </w:t>
      </w:r>
      <w:r w:rsidRPr="002F32F0">
        <w:rPr>
          <w:i/>
          <w:sz w:val="22"/>
          <w:szCs w:val="22"/>
          <w:u w:val="single"/>
        </w:rPr>
        <w:t xml:space="preserve">vrátane starších </w:t>
      </w:r>
      <w:proofErr w:type="spellStart"/>
      <w:r w:rsidRPr="002F32F0">
        <w:rPr>
          <w:i/>
          <w:sz w:val="22"/>
          <w:szCs w:val="22"/>
          <w:u w:val="single"/>
        </w:rPr>
        <w:t>pacientok</w:t>
      </w:r>
      <w:proofErr w:type="spellEnd"/>
    </w:p>
    <w:p w14:paraId="0E5A4188" w14:textId="77777777" w:rsidR="00FC67C3" w:rsidRDefault="00D7043B">
      <w:pPr>
        <w:rPr>
          <w:sz w:val="22"/>
          <w:szCs w:val="22"/>
        </w:rPr>
      </w:pPr>
      <w:r>
        <w:rPr>
          <w:sz w:val="22"/>
          <w:szCs w:val="22"/>
        </w:rPr>
        <w:t>Jedna</w:t>
      </w:r>
      <w:r w:rsidR="00FC67C3">
        <w:rPr>
          <w:sz w:val="22"/>
          <w:szCs w:val="22"/>
        </w:rPr>
        <w:t xml:space="preserve"> tableta (1mg) sa užíva perorálne jedenkrát denne.</w:t>
      </w:r>
    </w:p>
    <w:p w14:paraId="3790C750" w14:textId="77777777" w:rsidR="00FC67C3" w:rsidRDefault="00FC67C3">
      <w:pPr>
        <w:rPr>
          <w:sz w:val="22"/>
          <w:szCs w:val="22"/>
        </w:rPr>
      </w:pPr>
    </w:p>
    <w:p w14:paraId="483B17C9" w14:textId="77777777" w:rsidR="00D7043B" w:rsidRPr="00D929C5" w:rsidRDefault="00D7043B" w:rsidP="00D7043B">
      <w:pPr>
        <w:pStyle w:val="Zkladntext2"/>
        <w:jc w:val="left"/>
        <w:rPr>
          <w:rFonts w:ascii="Times New Roman" w:hAnsi="Times New Roman"/>
          <w:sz w:val="22"/>
          <w:szCs w:val="22"/>
        </w:rPr>
      </w:pPr>
      <w:r w:rsidRPr="00D929C5">
        <w:rPr>
          <w:rFonts w:ascii="Times New Roman" w:hAnsi="Times New Roman"/>
          <w:sz w:val="22"/>
          <w:szCs w:val="22"/>
        </w:rPr>
        <w:t xml:space="preserve">Odporúčaná dĺžka </w:t>
      </w:r>
      <w:proofErr w:type="spellStart"/>
      <w:r w:rsidRPr="00D929C5">
        <w:rPr>
          <w:rFonts w:ascii="Times New Roman" w:hAnsi="Times New Roman"/>
          <w:sz w:val="22"/>
          <w:szCs w:val="22"/>
        </w:rPr>
        <w:t>adjuvantnej</w:t>
      </w:r>
      <w:proofErr w:type="spellEnd"/>
      <w:r w:rsidRPr="00D929C5">
        <w:rPr>
          <w:rFonts w:ascii="Times New Roman" w:hAnsi="Times New Roman"/>
          <w:sz w:val="22"/>
          <w:szCs w:val="22"/>
        </w:rPr>
        <w:t xml:space="preserve"> endokrinnej liečby včasného štádia invazívneho karcinómu prsníka pozitívneho na hormonálne receptory u žien po </w:t>
      </w:r>
      <w:proofErr w:type="spellStart"/>
      <w:r w:rsidRPr="00D929C5">
        <w:rPr>
          <w:rFonts w:ascii="Times New Roman" w:hAnsi="Times New Roman"/>
          <w:sz w:val="22"/>
          <w:szCs w:val="22"/>
        </w:rPr>
        <w:t>menopauze</w:t>
      </w:r>
      <w:proofErr w:type="spellEnd"/>
      <w:r w:rsidRPr="00D929C5">
        <w:rPr>
          <w:rFonts w:ascii="Times New Roman" w:hAnsi="Times New Roman"/>
          <w:sz w:val="22"/>
          <w:szCs w:val="22"/>
        </w:rPr>
        <w:t xml:space="preserve"> je 5 rokov.</w:t>
      </w:r>
    </w:p>
    <w:p w14:paraId="1E0C5E0D" w14:textId="77777777" w:rsidR="00D7043B" w:rsidRDefault="00D7043B">
      <w:pPr>
        <w:rPr>
          <w:sz w:val="22"/>
          <w:szCs w:val="22"/>
        </w:rPr>
      </w:pPr>
    </w:p>
    <w:p w14:paraId="5B80DF01" w14:textId="77777777" w:rsidR="00D7043B" w:rsidRPr="00D929C5" w:rsidRDefault="00D7043B" w:rsidP="00D7043B">
      <w:pPr>
        <w:pStyle w:val="Zkladntext"/>
        <w:rPr>
          <w:sz w:val="22"/>
          <w:szCs w:val="22"/>
          <w:u w:val="single"/>
        </w:rPr>
      </w:pPr>
      <w:r w:rsidRPr="00D929C5">
        <w:rPr>
          <w:sz w:val="22"/>
          <w:szCs w:val="22"/>
          <w:u w:val="single"/>
        </w:rPr>
        <w:t>Osobitné skupiny pacientov</w:t>
      </w:r>
    </w:p>
    <w:p w14:paraId="79F811BC" w14:textId="77777777" w:rsidR="00D7043B" w:rsidRDefault="00D7043B">
      <w:pPr>
        <w:rPr>
          <w:sz w:val="22"/>
          <w:szCs w:val="22"/>
          <w:u w:val="single"/>
        </w:rPr>
      </w:pPr>
    </w:p>
    <w:p w14:paraId="3CCD5A79" w14:textId="77777777" w:rsidR="00FC67C3" w:rsidRPr="002F32F0" w:rsidRDefault="00FC67C3">
      <w:pPr>
        <w:rPr>
          <w:i/>
          <w:sz w:val="22"/>
          <w:szCs w:val="22"/>
          <w:u w:val="single"/>
        </w:rPr>
      </w:pPr>
      <w:r w:rsidRPr="002F32F0">
        <w:rPr>
          <w:i/>
          <w:sz w:val="22"/>
          <w:szCs w:val="22"/>
          <w:u w:val="single"/>
        </w:rPr>
        <w:t>Deti</w:t>
      </w:r>
      <w:r w:rsidR="00D7043B" w:rsidRPr="002F32F0">
        <w:rPr>
          <w:i/>
          <w:sz w:val="22"/>
          <w:szCs w:val="22"/>
          <w:u w:val="single"/>
        </w:rPr>
        <w:t xml:space="preserve"> a dospievajúci</w:t>
      </w:r>
    </w:p>
    <w:p w14:paraId="2D14B37E" w14:textId="77777777" w:rsidR="00D7043B" w:rsidRPr="00D929C5" w:rsidRDefault="00D7043B" w:rsidP="00D7043B">
      <w:pPr>
        <w:pStyle w:val="Zkladntext"/>
        <w:rPr>
          <w:sz w:val="22"/>
          <w:szCs w:val="22"/>
        </w:rPr>
      </w:pPr>
      <w:r>
        <w:rPr>
          <w:sz w:val="22"/>
          <w:szCs w:val="22"/>
        </w:rPr>
        <w:t>N</w:t>
      </w:r>
      <w:r w:rsidRPr="00D929C5">
        <w:rPr>
          <w:sz w:val="22"/>
          <w:szCs w:val="22"/>
        </w:rPr>
        <w:t xml:space="preserve">eodporúča sa podávať </w:t>
      </w:r>
      <w:proofErr w:type="spellStart"/>
      <w:r>
        <w:rPr>
          <w:sz w:val="22"/>
          <w:szCs w:val="22"/>
        </w:rPr>
        <w:t>anastrozol</w:t>
      </w:r>
      <w:proofErr w:type="spellEnd"/>
      <w:r>
        <w:rPr>
          <w:sz w:val="22"/>
          <w:szCs w:val="22"/>
        </w:rPr>
        <w:t xml:space="preserve"> </w:t>
      </w:r>
      <w:r w:rsidRPr="00D929C5">
        <w:rPr>
          <w:sz w:val="22"/>
          <w:szCs w:val="22"/>
        </w:rPr>
        <w:t>deťom a dospievajúcim vzhľadom na nedostatočné údaje o bezpečnosti a účinnosti (pozri časti 4.4 a 5.1).</w:t>
      </w:r>
    </w:p>
    <w:p w14:paraId="0E36B2F5" w14:textId="77777777" w:rsidR="00FC67C3" w:rsidRDefault="00FC67C3">
      <w:pPr>
        <w:rPr>
          <w:sz w:val="22"/>
          <w:szCs w:val="22"/>
          <w:u w:val="single"/>
        </w:rPr>
      </w:pPr>
    </w:p>
    <w:p w14:paraId="637C0DBC" w14:textId="77777777" w:rsidR="00FC67C3" w:rsidRPr="002F32F0" w:rsidRDefault="00FC67C3" w:rsidP="00D7043B">
      <w:pPr>
        <w:rPr>
          <w:i/>
          <w:sz w:val="22"/>
          <w:szCs w:val="22"/>
        </w:rPr>
      </w:pPr>
      <w:r w:rsidRPr="002F32F0">
        <w:rPr>
          <w:i/>
          <w:sz w:val="22"/>
          <w:szCs w:val="22"/>
          <w:u w:val="single"/>
        </w:rPr>
        <w:t xml:space="preserve">Poškodenie funkcie obličiek </w:t>
      </w:r>
    </w:p>
    <w:p w14:paraId="2927CFFF" w14:textId="77777777" w:rsidR="00D7043B" w:rsidRPr="00D929C5" w:rsidRDefault="00D7043B" w:rsidP="002F32F0">
      <w:pPr>
        <w:pStyle w:val="Zkladntext"/>
        <w:spacing w:after="0"/>
        <w:rPr>
          <w:sz w:val="22"/>
          <w:szCs w:val="22"/>
        </w:rPr>
      </w:pPr>
      <w:r w:rsidRPr="00D929C5">
        <w:rPr>
          <w:sz w:val="22"/>
          <w:szCs w:val="22"/>
        </w:rPr>
        <w:lastRenderedPageBreak/>
        <w:t xml:space="preserve">U </w:t>
      </w:r>
      <w:proofErr w:type="spellStart"/>
      <w:r w:rsidRPr="00D929C5">
        <w:rPr>
          <w:sz w:val="22"/>
          <w:szCs w:val="22"/>
        </w:rPr>
        <w:t>pacientok</w:t>
      </w:r>
      <w:proofErr w:type="spellEnd"/>
      <w:r w:rsidRPr="00D929C5">
        <w:rPr>
          <w:sz w:val="22"/>
          <w:szCs w:val="22"/>
        </w:rPr>
        <w:t xml:space="preserve"> s ľahkým až stredne ťažkým poškodením funkcie obličiek sa zmena dávky neodporúča. U </w:t>
      </w:r>
      <w:proofErr w:type="spellStart"/>
      <w:r w:rsidRPr="00D929C5">
        <w:rPr>
          <w:sz w:val="22"/>
          <w:szCs w:val="22"/>
        </w:rPr>
        <w:t>pacientok</w:t>
      </w:r>
      <w:proofErr w:type="spellEnd"/>
      <w:r w:rsidRPr="00D929C5">
        <w:rPr>
          <w:sz w:val="22"/>
          <w:szCs w:val="22"/>
        </w:rPr>
        <w:t xml:space="preserve"> s ťažkým poškodením obličiek sa má </w:t>
      </w:r>
      <w:proofErr w:type="spellStart"/>
      <w:r>
        <w:rPr>
          <w:sz w:val="22"/>
          <w:szCs w:val="22"/>
        </w:rPr>
        <w:t>anastrozol</w:t>
      </w:r>
      <w:proofErr w:type="spellEnd"/>
      <w:r w:rsidRPr="00D929C5">
        <w:rPr>
          <w:sz w:val="22"/>
          <w:szCs w:val="22"/>
        </w:rPr>
        <w:t xml:space="preserve"> podávať opatrne  (pozri časti 4.4 a 5.2).</w:t>
      </w:r>
    </w:p>
    <w:p w14:paraId="77633649" w14:textId="77777777" w:rsidR="00FC67C3" w:rsidRDefault="00FC67C3" w:rsidP="00D7043B">
      <w:pPr>
        <w:rPr>
          <w:sz w:val="22"/>
          <w:szCs w:val="22"/>
        </w:rPr>
      </w:pPr>
    </w:p>
    <w:p w14:paraId="342687C1" w14:textId="77777777" w:rsidR="00FC67C3" w:rsidRPr="002F32F0" w:rsidRDefault="00FC67C3" w:rsidP="00D7043B">
      <w:pPr>
        <w:rPr>
          <w:i/>
          <w:sz w:val="22"/>
          <w:szCs w:val="22"/>
          <w:u w:val="single"/>
        </w:rPr>
      </w:pPr>
      <w:r w:rsidRPr="002F32F0">
        <w:rPr>
          <w:i/>
          <w:sz w:val="22"/>
          <w:szCs w:val="22"/>
          <w:u w:val="single"/>
        </w:rPr>
        <w:t>Poškodenie funkcie pečene</w:t>
      </w:r>
    </w:p>
    <w:p w14:paraId="4532CD0E" w14:textId="77777777" w:rsidR="00D7043B" w:rsidRPr="00D929C5" w:rsidRDefault="00D7043B" w:rsidP="002F32F0">
      <w:pPr>
        <w:pStyle w:val="Zkladntext"/>
        <w:spacing w:after="0"/>
        <w:rPr>
          <w:sz w:val="22"/>
          <w:szCs w:val="22"/>
        </w:rPr>
      </w:pPr>
      <w:r w:rsidRPr="00D929C5">
        <w:rPr>
          <w:sz w:val="22"/>
          <w:szCs w:val="22"/>
        </w:rPr>
        <w:t>U </w:t>
      </w:r>
      <w:proofErr w:type="spellStart"/>
      <w:r w:rsidRPr="00D929C5">
        <w:rPr>
          <w:sz w:val="22"/>
          <w:szCs w:val="22"/>
        </w:rPr>
        <w:t>pacientok</w:t>
      </w:r>
      <w:proofErr w:type="spellEnd"/>
      <w:r w:rsidRPr="00D929C5">
        <w:rPr>
          <w:sz w:val="22"/>
          <w:szCs w:val="22"/>
        </w:rPr>
        <w:t xml:space="preserve"> s ľahkým ochorením pečene sa zmena dávky neodporúča. Opatrnosť sa odporúča u </w:t>
      </w:r>
      <w:proofErr w:type="spellStart"/>
      <w:r w:rsidRPr="00D929C5">
        <w:rPr>
          <w:sz w:val="22"/>
          <w:szCs w:val="22"/>
        </w:rPr>
        <w:t>pacientok</w:t>
      </w:r>
      <w:proofErr w:type="spellEnd"/>
      <w:r w:rsidRPr="00D929C5">
        <w:rPr>
          <w:sz w:val="22"/>
          <w:szCs w:val="22"/>
        </w:rPr>
        <w:t xml:space="preserve"> so stredne ťažkým až ťažkým poškodením funkcie pečene (pozri časť 4.4).</w:t>
      </w:r>
    </w:p>
    <w:p w14:paraId="48F1790A" w14:textId="77777777" w:rsidR="00D7043B" w:rsidRPr="00D929C5" w:rsidRDefault="00D7043B" w:rsidP="002F32F0">
      <w:pPr>
        <w:pStyle w:val="Zkladntext"/>
        <w:spacing w:after="0"/>
        <w:rPr>
          <w:i/>
          <w:sz w:val="22"/>
          <w:szCs w:val="22"/>
        </w:rPr>
      </w:pPr>
    </w:p>
    <w:p w14:paraId="72BD3E22" w14:textId="77777777" w:rsidR="00D7043B" w:rsidRPr="00D929C5" w:rsidRDefault="00D7043B" w:rsidP="002F32F0">
      <w:pPr>
        <w:pStyle w:val="Zkladntext"/>
        <w:spacing w:after="0"/>
        <w:rPr>
          <w:sz w:val="22"/>
          <w:szCs w:val="22"/>
          <w:u w:val="single"/>
        </w:rPr>
      </w:pPr>
      <w:r w:rsidRPr="00D929C5">
        <w:rPr>
          <w:sz w:val="22"/>
          <w:szCs w:val="22"/>
          <w:u w:val="single"/>
        </w:rPr>
        <w:t>Spôsob podania</w:t>
      </w:r>
    </w:p>
    <w:p w14:paraId="6105A5D2" w14:textId="77777777" w:rsidR="00D7043B" w:rsidRPr="00D929C5" w:rsidRDefault="00D7043B" w:rsidP="002F32F0">
      <w:pPr>
        <w:pStyle w:val="Zkladntext"/>
        <w:spacing w:after="0"/>
        <w:rPr>
          <w:sz w:val="22"/>
          <w:szCs w:val="22"/>
        </w:rPr>
      </w:pPr>
      <w:proofErr w:type="spellStart"/>
      <w:r w:rsidRPr="00D929C5">
        <w:rPr>
          <w:sz w:val="22"/>
          <w:szCs w:val="22"/>
        </w:rPr>
        <w:t>Ana</w:t>
      </w:r>
      <w:r>
        <w:rPr>
          <w:sz w:val="22"/>
          <w:szCs w:val="22"/>
        </w:rPr>
        <w:t>strozol</w:t>
      </w:r>
      <w:proofErr w:type="spellEnd"/>
      <w:r w:rsidRPr="00D929C5">
        <w:rPr>
          <w:sz w:val="22"/>
          <w:szCs w:val="22"/>
        </w:rPr>
        <w:t xml:space="preserve"> sa užíva perorálne.</w:t>
      </w:r>
    </w:p>
    <w:p w14:paraId="30B752B7" w14:textId="77777777" w:rsidR="00FC67C3" w:rsidRDefault="00FC67C3">
      <w:pPr>
        <w:ind w:left="708"/>
        <w:rPr>
          <w:sz w:val="22"/>
          <w:szCs w:val="22"/>
        </w:rPr>
      </w:pPr>
    </w:p>
    <w:p w14:paraId="03ECFFC4" w14:textId="77777777" w:rsidR="00FC67C3" w:rsidRDefault="00FC67C3">
      <w:pPr>
        <w:rPr>
          <w:b/>
          <w:sz w:val="22"/>
          <w:szCs w:val="22"/>
        </w:rPr>
      </w:pPr>
      <w:r>
        <w:rPr>
          <w:b/>
          <w:sz w:val="22"/>
          <w:szCs w:val="22"/>
        </w:rPr>
        <w:t>4.3</w:t>
      </w:r>
      <w:r>
        <w:rPr>
          <w:b/>
          <w:sz w:val="22"/>
          <w:szCs w:val="22"/>
        </w:rPr>
        <w:tab/>
        <w:t>Kontraindikácie</w:t>
      </w:r>
    </w:p>
    <w:p w14:paraId="361CA80B" w14:textId="77777777" w:rsidR="00FC67C3" w:rsidRDefault="00FC67C3">
      <w:pPr>
        <w:rPr>
          <w:sz w:val="22"/>
          <w:szCs w:val="22"/>
        </w:rPr>
      </w:pPr>
      <w:r>
        <w:rPr>
          <w:sz w:val="22"/>
          <w:szCs w:val="22"/>
        </w:rPr>
        <w:tab/>
      </w:r>
    </w:p>
    <w:p w14:paraId="04677D6D" w14:textId="77777777" w:rsidR="00D7043B" w:rsidRPr="00D929C5" w:rsidRDefault="00D7043B" w:rsidP="00D7043B">
      <w:pPr>
        <w:pStyle w:val="Zkladntext2"/>
        <w:tabs>
          <w:tab w:val="num" w:pos="720"/>
        </w:tabs>
        <w:jc w:val="left"/>
        <w:rPr>
          <w:rFonts w:ascii="Times New Roman" w:hAnsi="Times New Roman"/>
          <w:sz w:val="22"/>
          <w:szCs w:val="22"/>
        </w:rPr>
      </w:pPr>
      <w:proofErr w:type="spellStart"/>
      <w:r w:rsidRPr="00D929C5">
        <w:rPr>
          <w:rFonts w:ascii="Times New Roman" w:hAnsi="Times New Roman"/>
          <w:sz w:val="22"/>
          <w:szCs w:val="22"/>
        </w:rPr>
        <w:t>Ana</w:t>
      </w:r>
      <w:r>
        <w:rPr>
          <w:rFonts w:ascii="Times New Roman" w:hAnsi="Times New Roman"/>
          <w:sz w:val="22"/>
          <w:szCs w:val="22"/>
        </w:rPr>
        <w:t>strozol</w:t>
      </w:r>
      <w:proofErr w:type="spellEnd"/>
      <w:r w:rsidRPr="00D929C5">
        <w:rPr>
          <w:rFonts w:ascii="Times New Roman" w:hAnsi="Times New Roman"/>
          <w:sz w:val="22"/>
          <w:szCs w:val="22"/>
        </w:rPr>
        <w:t xml:space="preserve"> je kontraindikovaný: </w:t>
      </w:r>
    </w:p>
    <w:p w14:paraId="11436065" w14:textId="77777777" w:rsidR="00D7043B" w:rsidRPr="00D929C5" w:rsidRDefault="00D7043B" w:rsidP="00D7043B">
      <w:pPr>
        <w:spacing w:line="260" w:lineRule="exact"/>
        <w:rPr>
          <w:sz w:val="22"/>
          <w:szCs w:val="22"/>
        </w:rPr>
      </w:pPr>
      <w:r w:rsidRPr="00D929C5">
        <w:rPr>
          <w:sz w:val="22"/>
          <w:szCs w:val="22"/>
        </w:rPr>
        <w:t>-</w:t>
      </w:r>
      <w:r w:rsidRPr="00D929C5">
        <w:rPr>
          <w:color w:val="FF0000"/>
          <w:sz w:val="22"/>
          <w:szCs w:val="22"/>
        </w:rPr>
        <w:t xml:space="preserve"> </w:t>
      </w:r>
      <w:r w:rsidRPr="00D929C5">
        <w:rPr>
          <w:sz w:val="22"/>
          <w:szCs w:val="22"/>
        </w:rPr>
        <w:t>u gravidných alebo dojčiacich žien.</w:t>
      </w:r>
    </w:p>
    <w:p w14:paraId="60D5B318" w14:textId="77777777" w:rsidR="00D7043B" w:rsidRPr="00D929C5" w:rsidRDefault="00D7043B" w:rsidP="00D7043B">
      <w:pPr>
        <w:pStyle w:val="Zkladntext2"/>
        <w:tabs>
          <w:tab w:val="num" w:pos="720"/>
        </w:tabs>
        <w:jc w:val="left"/>
        <w:rPr>
          <w:rFonts w:ascii="Times New Roman" w:hAnsi="Times New Roman"/>
          <w:sz w:val="22"/>
          <w:szCs w:val="22"/>
        </w:rPr>
      </w:pPr>
      <w:r w:rsidRPr="00D929C5">
        <w:rPr>
          <w:rFonts w:ascii="Times New Roman" w:hAnsi="Times New Roman"/>
          <w:sz w:val="22"/>
          <w:szCs w:val="22"/>
        </w:rPr>
        <w:t>- u </w:t>
      </w:r>
      <w:proofErr w:type="spellStart"/>
      <w:r w:rsidRPr="00D929C5">
        <w:rPr>
          <w:rFonts w:ascii="Times New Roman" w:hAnsi="Times New Roman"/>
          <w:sz w:val="22"/>
          <w:szCs w:val="22"/>
        </w:rPr>
        <w:t>pacientok</w:t>
      </w:r>
      <w:proofErr w:type="spellEnd"/>
      <w:r w:rsidRPr="00D929C5">
        <w:rPr>
          <w:rFonts w:ascii="Times New Roman" w:hAnsi="Times New Roman"/>
          <w:sz w:val="22"/>
          <w:szCs w:val="22"/>
        </w:rPr>
        <w:t xml:space="preserve"> so známou precitlivenosťou na </w:t>
      </w:r>
      <w:proofErr w:type="spellStart"/>
      <w:r w:rsidRPr="00D929C5">
        <w:rPr>
          <w:rFonts w:ascii="Times New Roman" w:hAnsi="Times New Roman"/>
          <w:sz w:val="22"/>
          <w:szCs w:val="22"/>
        </w:rPr>
        <w:t>anastrozol</w:t>
      </w:r>
      <w:proofErr w:type="spellEnd"/>
      <w:r w:rsidRPr="00D929C5">
        <w:rPr>
          <w:rFonts w:ascii="Times New Roman" w:hAnsi="Times New Roman"/>
          <w:sz w:val="22"/>
          <w:szCs w:val="22"/>
        </w:rPr>
        <w:t xml:space="preserve"> alebo na ktorúkoľvek z pomocných látok</w:t>
      </w:r>
    </w:p>
    <w:p w14:paraId="01448699" w14:textId="77777777" w:rsidR="00D7043B" w:rsidRPr="00D929C5" w:rsidRDefault="00D7043B" w:rsidP="00D7043B">
      <w:pPr>
        <w:pStyle w:val="Zkladntext2"/>
        <w:tabs>
          <w:tab w:val="num" w:pos="720"/>
        </w:tabs>
        <w:jc w:val="left"/>
        <w:rPr>
          <w:rFonts w:ascii="Times New Roman" w:hAnsi="Times New Roman"/>
          <w:sz w:val="22"/>
          <w:szCs w:val="22"/>
        </w:rPr>
      </w:pPr>
      <w:r w:rsidRPr="00D929C5">
        <w:rPr>
          <w:rFonts w:ascii="Times New Roman" w:hAnsi="Times New Roman"/>
          <w:sz w:val="22"/>
          <w:szCs w:val="22"/>
        </w:rPr>
        <w:t xml:space="preserve">  uvedených v časti 6.1.</w:t>
      </w:r>
    </w:p>
    <w:p w14:paraId="3CEC5E1E" w14:textId="77777777" w:rsidR="00FC67C3" w:rsidRDefault="00FC67C3">
      <w:pPr>
        <w:rPr>
          <w:b/>
          <w:sz w:val="22"/>
          <w:szCs w:val="22"/>
        </w:rPr>
      </w:pPr>
    </w:p>
    <w:p w14:paraId="52E38A20" w14:textId="77777777" w:rsidR="00FC67C3" w:rsidRDefault="00FC67C3">
      <w:pPr>
        <w:rPr>
          <w:b/>
          <w:sz w:val="22"/>
          <w:szCs w:val="22"/>
        </w:rPr>
      </w:pPr>
      <w:r>
        <w:rPr>
          <w:b/>
          <w:sz w:val="22"/>
          <w:szCs w:val="22"/>
        </w:rPr>
        <w:t>4.4</w:t>
      </w:r>
      <w:r>
        <w:rPr>
          <w:b/>
          <w:sz w:val="22"/>
          <w:szCs w:val="22"/>
        </w:rPr>
        <w:tab/>
        <w:t>Osobitné upozornenia a opatrenia pri používaní</w:t>
      </w:r>
    </w:p>
    <w:p w14:paraId="7E36E223" w14:textId="77777777" w:rsidR="00FC67C3" w:rsidRDefault="00FC67C3">
      <w:pPr>
        <w:ind w:left="705"/>
        <w:rPr>
          <w:sz w:val="22"/>
          <w:szCs w:val="22"/>
        </w:rPr>
      </w:pPr>
    </w:p>
    <w:p w14:paraId="1A8E43DD" w14:textId="77777777" w:rsidR="00D7043B" w:rsidRPr="002F32F0" w:rsidRDefault="00D7043B" w:rsidP="00D7043B">
      <w:pPr>
        <w:pStyle w:val="A-TableText"/>
        <w:spacing w:before="0" w:after="0"/>
        <w:rPr>
          <w:szCs w:val="22"/>
          <w:lang w:val="sk-SK"/>
        </w:rPr>
      </w:pPr>
      <w:r w:rsidRPr="002F32F0">
        <w:rPr>
          <w:szCs w:val="22"/>
          <w:lang w:val="sk-SK"/>
        </w:rPr>
        <w:t>Všeobecné</w:t>
      </w:r>
    </w:p>
    <w:p w14:paraId="5ECE4588" w14:textId="77777777" w:rsidR="00D7043B" w:rsidRPr="00D929C5" w:rsidRDefault="00D7043B" w:rsidP="00D7043B">
      <w:pPr>
        <w:autoSpaceDE w:val="0"/>
        <w:autoSpaceDN w:val="0"/>
        <w:adjustRightInd w:val="0"/>
        <w:rPr>
          <w:sz w:val="22"/>
          <w:szCs w:val="22"/>
        </w:rPr>
      </w:pPr>
      <w:proofErr w:type="spellStart"/>
      <w:r w:rsidRPr="00D929C5">
        <w:rPr>
          <w:sz w:val="22"/>
          <w:szCs w:val="22"/>
        </w:rPr>
        <w:t>Ana</w:t>
      </w:r>
      <w:r>
        <w:rPr>
          <w:sz w:val="22"/>
          <w:szCs w:val="22"/>
        </w:rPr>
        <w:t>strozol</w:t>
      </w:r>
      <w:proofErr w:type="spellEnd"/>
      <w:r w:rsidRPr="00D929C5">
        <w:rPr>
          <w:sz w:val="22"/>
          <w:szCs w:val="22"/>
        </w:rPr>
        <w:t xml:space="preserve"> nemajú užívať ženy pred </w:t>
      </w:r>
      <w:proofErr w:type="spellStart"/>
      <w:r w:rsidRPr="00D929C5">
        <w:rPr>
          <w:sz w:val="22"/>
          <w:szCs w:val="22"/>
        </w:rPr>
        <w:t>menopauzou</w:t>
      </w:r>
      <w:proofErr w:type="spellEnd"/>
      <w:r w:rsidRPr="00D929C5">
        <w:rPr>
          <w:sz w:val="22"/>
          <w:szCs w:val="22"/>
        </w:rPr>
        <w:t>. U každej pacientky, u ktorej je pochybnosť o </w:t>
      </w:r>
      <w:proofErr w:type="spellStart"/>
      <w:r w:rsidRPr="00D929C5">
        <w:rPr>
          <w:sz w:val="22"/>
          <w:szCs w:val="22"/>
        </w:rPr>
        <w:t>menopauzálnom</w:t>
      </w:r>
      <w:proofErr w:type="spellEnd"/>
      <w:r w:rsidRPr="00D929C5">
        <w:rPr>
          <w:sz w:val="22"/>
          <w:szCs w:val="22"/>
        </w:rPr>
        <w:t xml:space="preserve"> stave, sa má </w:t>
      </w:r>
      <w:proofErr w:type="spellStart"/>
      <w:r w:rsidRPr="00D929C5">
        <w:rPr>
          <w:sz w:val="22"/>
          <w:szCs w:val="22"/>
        </w:rPr>
        <w:t>menopauza</w:t>
      </w:r>
      <w:proofErr w:type="spellEnd"/>
      <w:r w:rsidRPr="00D929C5">
        <w:rPr>
          <w:sz w:val="22"/>
          <w:szCs w:val="22"/>
        </w:rPr>
        <w:t xml:space="preserve"> definovať biochemicky (</w:t>
      </w:r>
      <w:proofErr w:type="spellStart"/>
      <w:r w:rsidRPr="00D929C5">
        <w:rPr>
          <w:sz w:val="22"/>
          <w:szCs w:val="22"/>
        </w:rPr>
        <w:t>luteinizačný</w:t>
      </w:r>
      <w:proofErr w:type="spellEnd"/>
      <w:r w:rsidRPr="00D929C5">
        <w:rPr>
          <w:sz w:val="22"/>
          <w:szCs w:val="22"/>
        </w:rPr>
        <w:t xml:space="preserve"> hormón – LH, hormón stimulujúci folikuly – FSH a/alebo hladiny </w:t>
      </w:r>
      <w:proofErr w:type="spellStart"/>
      <w:r w:rsidRPr="00D929C5">
        <w:rPr>
          <w:sz w:val="22"/>
          <w:szCs w:val="22"/>
        </w:rPr>
        <w:t>estradiolu</w:t>
      </w:r>
      <w:proofErr w:type="spellEnd"/>
      <w:r w:rsidRPr="00D929C5">
        <w:rPr>
          <w:sz w:val="22"/>
          <w:szCs w:val="22"/>
        </w:rPr>
        <w:t xml:space="preserve">). Neexistujú žiadne údaje na podporu použitia </w:t>
      </w:r>
      <w:proofErr w:type="spellStart"/>
      <w:r w:rsidR="004D743F">
        <w:rPr>
          <w:sz w:val="22"/>
          <w:szCs w:val="22"/>
        </w:rPr>
        <w:t>anastrozolu</w:t>
      </w:r>
      <w:proofErr w:type="spellEnd"/>
      <w:r w:rsidRPr="00D929C5">
        <w:rPr>
          <w:sz w:val="22"/>
          <w:szCs w:val="22"/>
        </w:rPr>
        <w:t xml:space="preserve"> s </w:t>
      </w:r>
      <w:proofErr w:type="spellStart"/>
      <w:r w:rsidRPr="00D929C5">
        <w:rPr>
          <w:sz w:val="22"/>
          <w:szCs w:val="22"/>
        </w:rPr>
        <w:t>analógmi</w:t>
      </w:r>
      <w:proofErr w:type="spellEnd"/>
      <w:r w:rsidRPr="00D929C5">
        <w:rPr>
          <w:sz w:val="22"/>
          <w:szCs w:val="22"/>
        </w:rPr>
        <w:t xml:space="preserve"> LHRH.</w:t>
      </w:r>
    </w:p>
    <w:p w14:paraId="2A4E60DA" w14:textId="77777777" w:rsidR="00D7043B" w:rsidRPr="00D929C5" w:rsidRDefault="00D7043B" w:rsidP="00D7043B">
      <w:pPr>
        <w:autoSpaceDE w:val="0"/>
        <w:autoSpaceDN w:val="0"/>
        <w:adjustRightInd w:val="0"/>
        <w:rPr>
          <w:sz w:val="22"/>
          <w:szCs w:val="22"/>
        </w:rPr>
      </w:pPr>
    </w:p>
    <w:p w14:paraId="1BE65AFF" w14:textId="77777777" w:rsidR="00D7043B" w:rsidRPr="00D929C5" w:rsidRDefault="00D7043B" w:rsidP="00D7043B">
      <w:pPr>
        <w:autoSpaceDE w:val="0"/>
        <w:autoSpaceDN w:val="0"/>
        <w:adjustRightInd w:val="0"/>
        <w:rPr>
          <w:sz w:val="22"/>
          <w:szCs w:val="22"/>
        </w:rPr>
      </w:pPr>
      <w:r w:rsidRPr="00D929C5">
        <w:rPr>
          <w:sz w:val="22"/>
          <w:szCs w:val="22"/>
        </w:rPr>
        <w:t xml:space="preserve">Je potrebné vyhnúť sa súbežnému podávaniu </w:t>
      </w:r>
      <w:proofErr w:type="spellStart"/>
      <w:r w:rsidR="004D743F">
        <w:rPr>
          <w:sz w:val="22"/>
          <w:szCs w:val="22"/>
        </w:rPr>
        <w:t>anstrozolu</w:t>
      </w:r>
      <w:proofErr w:type="spellEnd"/>
      <w:r w:rsidRPr="00D929C5">
        <w:rPr>
          <w:sz w:val="22"/>
          <w:szCs w:val="22"/>
        </w:rPr>
        <w:t xml:space="preserve"> s </w:t>
      </w:r>
      <w:proofErr w:type="spellStart"/>
      <w:r w:rsidRPr="00D929C5">
        <w:rPr>
          <w:sz w:val="22"/>
          <w:szCs w:val="22"/>
        </w:rPr>
        <w:t>tamoxif</w:t>
      </w:r>
      <w:r w:rsidR="004D743F">
        <w:rPr>
          <w:sz w:val="22"/>
          <w:szCs w:val="22"/>
        </w:rPr>
        <w:t>é</w:t>
      </w:r>
      <w:r w:rsidRPr="00D929C5">
        <w:rPr>
          <w:sz w:val="22"/>
          <w:szCs w:val="22"/>
        </w:rPr>
        <w:t>nom</w:t>
      </w:r>
      <w:proofErr w:type="spellEnd"/>
      <w:r w:rsidRPr="00D929C5">
        <w:rPr>
          <w:sz w:val="22"/>
          <w:szCs w:val="22"/>
        </w:rPr>
        <w:t xml:space="preserve"> alebo liečbou obsahujúcou estrogén, pretože to môže znížiť jeho farmakologický účinok (pozri časti 4.5 a 5.1).</w:t>
      </w:r>
    </w:p>
    <w:p w14:paraId="6F3DAD45" w14:textId="77777777" w:rsidR="00D7043B" w:rsidRPr="00D929C5" w:rsidRDefault="00D7043B" w:rsidP="00D7043B">
      <w:pPr>
        <w:pStyle w:val="Zkladntext2"/>
        <w:jc w:val="left"/>
        <w:rPr>
          <w:rFonts w:ascii="Times New Roman" w:hAnsi="Times New Roman"/>
          <w:sz w:val="22"/>
          <w:szCs w:val="22"/>
        </w:rPr>
      </w:pPr>
    </w:p>
    <w:p w14:paraId="2C2D1898" w14:textId="77777777" w:rsidR="00D7043B" w:rsidRPr="002F32F0" w:rsidRDefault="00D7043B" w:rsidP="00D7043B">
      <w:pPr>
        <w:pStyle w:val="Zkladntext2"/>
        <w:jc w:val="left"/>
        <w:rPr>
          <w:rFonts w:ascii="Times New Roman" w:hAnsi="Times New Roman"/>
          <w:sz w:val="22"/>
          <w:szCs w:val="22"/>
        </w:rPr>
      </w:pPr>
      <w:r w:rsidRPr="002F32F0">
        <w:rPr>
          <w:rFonts w:ascii="Times New Roman" w:hAnsi="Times New Roman"/>
          <w:sz w:val="22"/>
          <w:szCs w:val="22"/>
        </w:rPr>
        <w:t>Účinok na kostnú minerálnu hustotu</w:t>
      </w:r>
    </w:p>
    <w:p w14:paraId="591541AE" w14:textId="77777777" w:rsidR="00D7043B" w:rsidRPr="00D929C5" w:rsidRDefault="00D7043B" w:rsidP="00D7043B">
      <w:pPr>
        <w:rPr>
          <w:sz w:val="22"/>
          <w:szCs w:val="22"/>
        </w:rPr>
      </w:pPr>
      <w:proofErr w:type="spellStart"/>
      <w:r w:rsidRPr="00D929C5">
        <w:rPr>
          <w:sz w:val="22"/>
          <w:szCs w:val="22"/>
        </w:rPr>
        <w:t>Ana</w:t>
      </w:r>
      <w:r w:rsidR="004D743F">
        <w:rPr>
          <w:sz w:val="22"/>
          <w:szCs w:val="22"/>
        </w:rPr>
        <w:t>strozol</w:t>
      </w:r>
      <w:proofErr w:type="spellEnd"/>
      <w:r w:rsidRPr="00D929C5">
        <w:rPr>
          <w:sz w:val="22"/>
          <w:szCs w:val="22"/>
        </w:rPr>
        <w:t xml:space="preserve"> znižuje hladiny cirkulujúcich estrogénov, preto môže spôsobiť zníženie minerálnej hustoty kostí a následné zvýšenie rizika zlomeniny (pozri časť 4.8). </w:t>
      </w:r>
    </w:p>
    <w:p w14:paraId="1F858E79" w14:textId="77777777" w:rsidR="00D7043B" w:rsidRPr="00D929C5" w:rsidRDefault="00D7043B" w:rsidP="00D7043B">
      <w:pPr>
        <w:rPr>
          <w:sz w:val="22"/>
          <w:szCs w:val="22"/>
        </w:rPr>
      </w:pPr>
    </w:p>
    <w:p w14:paraId="61B77EC3" w14:textId="77777777" w:rsidR="00D7043B" w:rsidRPr="00D929C5" w:rsidRDefault="00D7043B" w:rsidP="00D7043B">
      <w:pPr>
        <w:spacing w:line="184" w:lineRule="atLeast"/>
        <w:textAlignment w:val="top"/>
        <w:outlineLvl w:val="3"/>
        <w:rPr>
          <w:sz w:val="22"/>
          <w:szCs w:val="22"/>
        </w:rPr>
      </w:pPr>
      <w:r w:rsidRPr="00D929C5">
        <w:rPr>
          <w:sz w:val="22"/>
          <w:szCs w:val="22"/>
        </w:rPr>
        <w:t xml:space="preserve">U žien s </w:t>
      </w:r>
      <w:proofErr w:type="spellStart"/>
      <w:r w:rsidRPr="00D929C5">
        <w:rPr>
          <w:sz w:val="22"/>
          <w:szCs w:val="22"/>
        </w:rPr>
        <w:t>osteoporózou</w:t>
      </w:r>
      <w:proofErr w:type="spellEnd"/>
      <w:r w:rsidRPr="00D929C5">
        <w:rPr>
          <w:sz w:val="22"/>
          <w:szCs w:val="22"/>
        </w:rPr>
        <w:t xml:space="preserve"> alebo s rizikom </w:t>
      </w:r>
      <w:proofErr w:type="spellStart"/>
      <w:r w:rsidRPr="00D929C5">
        <w:rPr>
          <w:sz w:val="22"/>
          <w:szCs w:val="22"/>
        </w:rPr>
        <w:t>osteoporózy</w:t>
      </w:r>
      <w:proofErr w:type="spellEnd"/>
      <w:r w:rsidRPr="00D929C5">
        <w:rPr>
          <w:sz w:val="22"/>
          <w:szCs w:val="22"/>
        </w:rPr>
        <w:t xml:space="preserve"> sa má minerálna hustota kostí formálne posúdiť na začiatku liečby a potom v pravidelných intervaloch. Liečba alebo prevencia </w:t>
      </w:r>
      <w:proofErr w:type="spellStart"/>
      <w:r w:rsidRPr="00D929C5">
        <w:rPr>
          <w:sz w:val="22"/>
          <w:szCs w:val="22"/>
        </w:rPr>
        <w:t>osteoporózy</w:t>
      </w:r>
      <w:proofErr w:type="spellEnd"/>
      <w:r w:rsidRPr="00D929C5">
        <w:rPr>
          <w:sz w:val="22"/>
          <w:szCs w:val="22"/>
        </w:rPr>
        <w:t xml:space="preserve"> sa má začať vo vhodnom čase a starostlivo monitorovať.</w:t>
      </w:r>
      <w:r w:rsidRPr="00D929C5">
        <w:rPr>
          <w:color w:val="000000"/>
          <w:sz w:val="22"/>
          <w:szCs w:val="22"/>
          <w:lang w:eastAsia="sk-SK"/>
        </w:rPr>
        <w:t xml:space="preserve"> U žien po </w:t>
      </w:r>
      <w:proofErr w:type="spellStart"/>
      <w:r w:rsidRPr="00D929C5">
        <w:rPr>
          <w:color w:val="000000"/>
          <w:sz w:val="22"/>
          <w:szCs w:val="22"/>
          <w:lang w:eastAsia="sk-SK"/>
        </w:rPr>
        <w:t>menopauze</w:t>
      </w:r>
      <w:proofErr w:type="spellEnd"/>
      <w:r w:rsidRPr="00D929C5">
        <w:rPr>
          <w:color w:val="000000"/>
          <w:sz w:val="22"/>
          <w:szCs w:val="22"/>
          <w:lang w:eastAsia="sk-SK"/>
        </w:rPr>
        <w:t xml:space="preserve"> by sa mohlo zvážiť použitie špecifickej liečby, napr. </w:t>
      </w:r>
      <w:proofErr w:type="spellStart"/>
      <w:r w:rsidRPr="00D929C5">
        <w:rPr>
          <w:color w:val="000000"/>
          <w:sz w:val="22"/>
          <w:szCs w:val="22"/>
          <w:lang w:eastAsia="sk-SK"/>
        </w:rPr>
        <w:t>bifosfonátov</w:t>
      </w:r>
      <w:proofErr w:type="spellEnd"/>
      <w:r w:rsidRPr="00D929C5">
        <w:rPr>
          <w:color w:val="000000"/>
          <w:sz w:val="22"/>
          <w:szCs w:val="22"/>
          <w:lang w:eastAsia="sk-SK"/>
        </w:rPr>
        <w:t xml:space="preserve">, ktorá môže zabrániť ďalšiemu úbytku minerálov z kostí spôsobený </w:t>
      </w:r>
      <w:proofErr w:type="spellStart"/>
      <w:r w:rsidR="004D743F">
        <w:rPr>
          <w:color w:val="000000"/>
          <w:sz w:val="22"/>
          <w:szCs w:val="22"/>
          <w:lang w:eastAsia="sk-SK"/>
        </w:rPr>
        <w:t>anastrozolom</w:t>
      </w:r>
      <w:proofErr w:type="spellEnd"/>
      <w:r w:rsidRPr="00D929C5">
        <w:rPr>
          <w:color w:val="000000"/>
          <w:sz w:val="22"/>
          <w:szCs w:val="22"/>
          <w:lang w:eastAsia="sk-SK"/>
        </w:rPr>
        <w:t xml:space="preserve"> </w:t>
      </w:r>
      <w:r w:rsidRPr="00D929C5">
        <w:rPr>
          <w:sz w:val="22"/>
          <w:szCs w:val="22"/>
        </w:rPr>
        <w:t>(pozri časť 4.8)</w:t>
      </w:r>
      <w:r w:rsidRPr="00D929C5">
        <w:rPr>
          <w:color w:val="000000"/>
          <w:sz w:val="22"/>
          <w:szCs w:val="22"/>
          <w:lang w:eastAsia="sk-SK"/>
        </w:rPr>
        <w:t>.</w:t>
      </w:r>
    </w:p>
    <w:p w14:paraId="5786F1A1" w14:textId="77777777" w:rsidR="00D7043B" w:rsidRPr="00D929C5" w:rsidRDefault="00D7043B" w:rsidP="00D7043B">
      <w:pPr>
        <w:pStyle w:val="Zkladntext2"/>
        <w:jc w:val="left"/>
        <w:rPr>
          <w:rFonts w:ascii="Times New Roman" w:hAnsi="Times New Roman"/>
          <w:sz w:val="22"/>
          <w:szCs w:val="22"/>
        </w:rPr>
      </w:pPr>
    </w:p>
    <w:p w14:paraId="6EF091D1" w14:textId="77777777" w:rsidR="00D7043B" w:rsidRPr="002F32F0" w:rsidRDefault="00D7043B" w:rsidP="00D7043B">
      <w:pPr>
        <w:pStyle w:val="Zkladntext2"/>
        <w:jc w:val="left"/>
        <w:rPr>
          <w:rFonts w:ascii="Times New Roman" w:hAnsi="Times New Roman"/>
          <w:sz w:val="22"/>
          <w:szCs w:val="22"/>
        </w:rPr>
      </w:pPr>
      <w:r w:rsidRPr="002F32F0">
        <w:rPr>
          <w:rFonts w:ascii="Times New Roman" w:hAnsi="Times New Roman"/>
          <w:sz w:val="22"/>
          <w:szCs w:val="22"/>
        </w:rPr>
        <w:t>Poškodenie funkcie pečene</w:t>
      </w:r>
    </w:p>
    <w:p w14:paraId="1E16E116" w14:textId="77777777" w:rsidR="00D7043B" w:rsidRPr="00D929C5" w:rsidRDefault="00D7043B" w:rsidP="00D7043B">
      <w:pPr>
        <w:autoSpaceDE w:val="0"/>
        <w:autoSpaceDN w:val="0"/>
        <w:adjustRightInd w:val="0"/>
        <w:rPr>
          <w:sz w:val="22"/>
          <w:szCs w:val="22"/>
        </w:rPr>
      </w:pPr>
      <w:proofErr w:type="spellStart"/>
      <w:r w:rsidRPr="00D929C5">
        <w:rPr>
          <w:sz w:val="22"/>
          <w:szCs w:val="22"/>
        </w:rPr>
        <w:t>Ana</w:t>
      </w:r>
      <w:r w:rsidR="004D743F">
        <w:rPr>
          <w:sz w:val="22"/>
          <w:szCs w:val="22"/>
        </w:rPr>
        <w:t>strozol</w:t>
      </w:r>
      <w:proofErr w:type="spellEnd"/>
      <w:r w:rsidRPr="00D929C5">
        <w:rPr>
          <w:sz w:val="22"/>
          <w:szCs w:val="22"/>
        </w:rPr>
        <w:t xml:space="preserve"> sa neskúmal u </w:t>
      </w:r>
      <w:proofErr w:type="spellStart"/>
      <w:r w:rsidRPr="00D929C5">
        <w:rPr>
          <w:sz w:val="22"/>
          <w:szCs w:val="22"/>
        </w:rPr>
        <w:t>pacientok</w:t>
      </w:r>
      <w:proofErr w:type="spellEnd"/>
      <w:r w:rsidRPr="00D929C5">
        <w:rPr>
          <w:sz w:val="22"/>
          <w:szCs w:val="22"/>
        </w:rPr>
        <w:t xml:space="preserve"> s karcinómom prsníka so stredne ťažkým alebo ťažkým poškodením funkcie pečene. Expozícia </w:t>
      </w:r>
      <w:proofErr w:type="spellStart"/>
      <w:r w:rsidRPr="00D929C5">
        <w:rPr>
          <w:sz w:val="22"/>
          <w:szCs w:val="22"/>
        </w:rPr>
        <w:t>anastrozolu</w:t>
      </w:r>
      <w:proofErr w:type="spellEnd"/>
      <w:r w:rsidRPr="00D929C5">
        <w:rPr>
          <w:sz w:val="22"/>
          <w:szCs w:val="22"/>
        </w:rPr>
        <w:t xml:space="preserve"> sa môže zvýšiť u </w:t>
      </w:r>
      <w:proofErr w:type="spellStart"/>
      <w:r w:rsidRPr="00D929C5">
        <w:rPr>
          <w:sz w:val="22"/>
          <w:szCs w:val="22"/>
        </w:rPr>
        <w:t>pacientok</w:t>
      </w:r>
      <w:proofErr w:type="spellEnd"/>
      <w:r w:rsidRPr="00D929C5">
        <w:rPr>
          <w:sz w:val="22"/>
          <w:szCs w:val="22"/>
        </w:rPr>
        <w:t xml:space="preserve"> s poškodením funkcie pečene (pozri časť 5.2). Pacientkam so stredne ťažkým až ťažkým poškodením funkcie pečene sa má </w:t>
      </w:r>
      <w:proofErr w:type="spellStart"/>
      <w:r w:rsidR="004D743F">
        <w:rPr>
          <w:sz w:val="22"/>
          <w:szCs w:val="22"/>
        </w:rPr>
        <w:t>anastrozol</w:t>
      </w:r>
      <w:proofErr w:type="spellEnd"/>
      <w:r w:rsidRPr="00D929C5">
        <w:rPr>
          <w:sz w:val="22"/>
          <w:szCs w:val="22"/>
        </w:rPr>
        <w:t xml:space="preserve"> podávať opatrne (pozri časť 4.2). Liečba sa má zakladať na vyhodnotení prínosu – rizika pre konkrétnu pacientku.</w:t>
      </w:r>
    </w:p>
    <w:p w14:paraId="6EC5BAAB" w14:textId="77777777" w:rsidR="00D7043B" w:rsidRPr="00D929C5" w:rsidRDefault="00D7043B" w:rsidP="00D7043B">
      <w:pPr>
        <w:pStyle w:val="Zkladntext2"/>
        <w:jc w:val="left"/>
        <w:rPr>
          <w:rFonts w:ascii="Times New Roman" w:hAnsi="Times New Roman"/>
          <w:sz w:val="22"/>
          <w:szCs w:val="22"/>
        </w:rPr>
      </w:pPr>
    </w:p>
    <w:p w14:paraId="32971C5F" w14:textId="77777777" w:rsidR="00D7043B" w:rsidRPr="002F32F0" w:rsidRDefault="00D7043B" w:rsidP="00D7043B">
      <w:pPr>
        <w:pStyle w:val="Zkladntext2"/>
        <w:jc w:val="left"/>
        <w:rPr>
          <w:rFonts w:ascii="Times New Roman" w:hAnsi="Times New Roman"/>
          <w:sz w:val="22"/>
          <w:szCs w:val="22"/>
        </w:rPr>
      </w:pPr>
      <w:r w:rsidRPr="002F32F0">
        <w:rPr>
          <w:rFonts w:ascii="Times New Roman" w:hAnsi="Times New Roman"/>
          <w:sz w:val="22"/>
          <w:szCs w:val="22"/>
        </w:rPr>
        <w:t>Poškodenie funkcie obličiek</w:t>
      </w:r>
    </w:p>
    <w:p w14:paraId="6A2831DD" w14:textId="77777777" w:rsidR="00D7043B" w:rsidRPr="00D929C5" w:rsidRDefault="00D7043B" w:rsidP="00D7043B">
      <w:pPr>
        <w:keepNext/>
        <w:keepLines/>
        <w:ind w:right="181"/>
        <w:rPr>
          <w:bCs/>
          <w:sz w:val="22"/>
          <w:szCs w:val="22"/>
        </w:rPr>
      </w:pPr>
      <w:proofErr w:type="spellStart"/>
      <w:r w:rsidRPr="00D929C5">
        <w:rPr>
          <w:sz w:val="22"/>
          <w:szCs w:val="22"/>
        </w:rPr>
        <w:t>Ana</w:t>
      </w:r>
      <w:r w:rsidR="004D743F">
        <w:rPr>
          <w:sz w:val="22"/>
          <w:szCs w:val="22"/>
        </w:rPr>
        <w:t>strozol</w:t>
      </w:r>
      <w:proofErr w:type="spellEnd"/>
      <w:r w:rsidRPr="00D929C5">
        <w:rPr>
          <w:sz w:val="22"/>
          <w:szCs w:val="22"/>
        </w:rPr>
        <w:t xml:space="preserve"> sa neskúmal u </w:t>
      </w:r>
      <w:proofErr w:type="spellStart"/>
      <w:r w:rsidRPr="00D929C5">
        <w:rPr>
          <w:sz w:val="22"/>
          <w:szCs w:val="22"/>
        </w:rPr>
        <w:t>pacientok</w:t>
      </w:r>
      <w:proofErr w:type="spellEnd"/>
      <w:r w:rsidRPr="00D929C5">
        <w:rPr>
          <w:sz w:val="22"/>
          <w:szCs w:val="22"/>
        </w:rPr>
        <w:t xml:space="preserve"> s karcinómom prsníka s ťažkým poškodením funkcie obličiek. Expozícia </w:t>
      </w:r>
      <w:proofErr w:type="spellStart"/>
      <w:r w:rsidRPr="00D929C5">
        <w:rPr>
          <w:sz w:val="22"/>
          <w:szCs w:val="22"/>
        </w:rPr>
        <w:t>anastrozolu</w:t>
      </w:r>
      <w:proofErr w:type="spellEnd"/>
      <w:r w:rsidRPr="00D929C5">
        <w:rPr>
          <w:sz w:val="22"/>
          <w:szCs w:val="22"/>
        </w:rPr>
        <w:t xml:space="preserve"> sa u </w:t>
      </w:r>
      <w:proofErr w:type="spellStart"/>
      <w:r w:rsidRPr="00D929C5">
        <w:rPr>
          <w:sz w:val="22"/>
          <w:szCs w:val="22"/>
        </w:rPr>
        <w:t>pacientok</w:t>
      </w:r>
      <w:proofErr w:type="spellEnd"/>
      <w:r w:rsidRPr="00D929C5">
        <w:rPr>
          <w:sz w:val="22"/>
          <w:szCs w:val="22"/>
        </w:rPr>
        <w:t xml:space="preserve"> s ťažkým poškodením funkcie obličiek (GFR &lt; 30 ml/min, pozri časť 5.2) nezvyšuje. Pacientkam s ťažkým poškodením funkcie obličiek sa má </w:t>
      </w:r>
      <w:proofErr w:type="spellStart"/>
      <w:r w:rsidR="004D743F">
        <w:rPr>
          <w:sz w:val="22"/>
          <w:szCs w:val="22"/>
        </w:rPr>
        <w:t>anastrozol</w:t>
      </w:r>
      <w:proofErr w:type="spellEnd"/>
      <w:r w:rsidRPr="00D929C5">
        <w:rPr>
          <w:sz w:val="22"/>
          <w:szCs w:val="22"/>
        </w:rPr>
        <w:t xml:space="preserve"> podávať opatrne (pozri časť 4.2).</w:t>
      </w:r>
    </w:p>
    <w:p w14:paraId="230DE4D2" w14:textId="77777777" w:rsidR="00D7043B" w:rsidRPr="00D929C5" w:rsidRDefault="00D7043B" w:rsidP="00D7043B">
      <w:pPr>
        <w:pStyle w:val="Zkladntext2"/>
        <w:jc w:val="left"/>
        <w:rPr>
          <w:rFonts w:ascii="Times New Roman" w:hAnsi="Times New Roman"/>
          <w:sz w:val="22"/>
          <w:szCs w:val="22"/>
          <w:u w:val="single"/>
        </w:rPr>
      </w:pPr>
    </w:p>
    <w:p w14:paraId="67101797" w14:textId="77777777" w:rsidR="00D7043B" w:rsidRPr="004D743F" w:rsidRDefault="00D7043B" w:rsidP="00D7043B">
      <w:pPr>
        <w:pStyle w:val="Zkladntext2"/>
        <w:jc w:val="left"/>
        <w:rPr>
          <w:rFonts w:ascii="Times New Roman" w:hAnsi="Times New Roman"/>
          <w:sz w:val="22"/>
          <w:szCs w:val="22"/>
          <w:u w:val="single"/>
        </w:rPr>
      </w:pPr>
      <w:r w:rsidRPr="004D743F">
        <w:rPr>
          <w:rFonts w:ascii="Times New Roman" w:hAnsi="Times New Roman"/>
          <w:sz w:val="22"/>
          <w:szCs w:val="22"/>
          <w:u w:val="single"/>
        </w:rPr>
        <w:t>Deti a dospievajúci</w:t>
      </w:r>
    </w:p>
    <w:p w14:paraId="6F65EABF" w14:textId="77777777" w:rsidR="00D7043B" w:rsidRPr="00D929C5" w:rsidRDefault="00D7043B" w:rsidP="00D7043B">
      <w:pPr>
        <w:rPr>
          <w:bCs/>
          <w:sz w:val="22"/>
          <w:szCs w:val="22"/>
        </w:rPr>
      </w:pPr>
      <w:r w:rsidRPr="00D929C5">
        <w:rPr>
          <w:sz w:val="22"/>
          <w:szCs w:val="22"/>
        </w:rPr>
        <w:t xml:space="preserve">Použitie </w:t>
      </w:r>
      <w:proofErr w:type="spellStart"/>
      <w:r w:rsidR="004D743F">
        <w:rPr>
          <w:sz w:val="22"/>
          <w:szCs w:val="22"/>
        </w:rPr>
        <w:t>anastrozolu</w:t>
      </w:r>
      <w:proofErr w:type="spellEnd"/>
      <w:r w:rsidRPr="00D929C5">
        <w:rPr>
          <w:sz w:val="22"/>
          <w:szCs w:val="22"/>
        </w:rPr>
        <w:t xml:space="preserve"> u detí a dospievajúcich sa neodporúča, pretože sa v tejto skupine pacientov nepreukázala bezpečnosť a účinnosť (pozri časť </w:t>
      </w:r>
      <w:r w:rsidRPr="00D929C5">
        <w:rPr>
          <w:bCs/>
          <w:sz w:val="22"/>
          <w:szCs w:val="22"/>
        </w:rPr>
        <w:t>5.1).</w:t>
      </w:r>
    </w:p>
    <w:p w14:paraId="33EB9AFF" w14:textId="77777777" w:rsidR="00D7043B" w:rsidRPr="00D929C5" w:rsidRDefault="00D7043B" w:rsidP="00D7043B">
      <w:pPr>
        <w:rPr>
          <w:bCs/>
          <w:sz w:val="22"/>
          <w:szCs w:val="22"/>
        </w:rPr>
      </w:pPr>
      <w:proofErr w:type="spellStart"/>
      <w:r w:rsidRPr="00D929C5">
        <w:rPr>
          <w:sz w:val="22"/>
          <w:szCs w:val="22"/>
        </w:rPr>
        <w:t>Ana</w:t>
      </w:r>
      <w:r w:rsidR="004D743F">
        <w:rPr>
          <w:sz w:val="22"/>
          <w:szCs w:val="22"/>
        </w:rPr>
        <w:t>strozol</w:t>
      </w:r>
      <w:proofErr w:type="spellEnd"/>
      <w:r w:rsidRPr="00D929C5">
        <w:rPr>
          <w:sz w:val="22"/>
          <w:szCs w:val="22"/>
        </w:rPr>
        <w:t xml:space="preserve"> sa nemá užívať ako </w:t>
      </w:r>
      <w:r w:rsidR="004D743F">
        <w:rPr>
          <w:sz w:val="22"/>
          <w:szCs w:val="22"/>
        </w:rPr>
        <w:t>doplnok</w:t>
      </w:r>
      <w:r w:rsidRPr="00D929C5">
        <w:rPr>
          <w:sz w:val="22"/>
          <w:szCs w:val="22"/>
        </w:rPr>
        <w:t xml:space="preserve"> k liečbe rastovým hormónom u chlapcov s </w:t>
      </w:r>
      <w:proofErr w:type="spellStart"/>
      <w:r w:rsidRPr="00D929C5">
        <w:rPr>
          <w:sz w:val="22"/>
          <w:szCs w:val="22"/>
        </w:rPr>
        <w:t>deficienciou</w:t>
      </w:r>
      <w:proofErr w:type="spellEnd"/>
      <w:r w:rsidRPr="00D929C5">
        <w:rPr>
          <w:sz w:val="22"/>
          <w:szCs w:val="22"/>
        </w:rPr>
        <w:t xml:space="preserve"> rastového hormónu. V </w:t>
      </w:r>
      <w:proofErr w:type="spellStart"/>
      <w:r w:rsidRPr="00D929C5">
        <w:rPr>
          <w:sz w:val="22"/>
          <w:szCs w:val="22"/>
        </w:rPr>
        <w:t>pivotnej</w:t>
      </w:r>
      <w:proofErr w:type="spellEnd"/>
      <w:r w:rsidRPr="00D929C5">
        <w:rPr>
          <w:sz w:val="22"/>
          <w:szCs w:val="22"/>
        </w:rPr>
        <w:t xml:space="preserve"> klinickej štúdii sa účinnosť ani bezpečnosť nepreukázala (pozri časť  5.1). </w:t>
      </w:r>
      <w:proofErr w:type="spellStart"/>
      <w:r w:rsidRPr="00D929C5">
        <w:rPr>
          <w:sz w:val="22"/>
          <w:szCs w:val="22"/>
        </w:rPr>
        <w:t>Anastrozol</w:t>
      </w:r>
      <w:proofErr w:type="spellEnd"/>
      <w:r w:rsidRPr="00D929C5">
        <w:rPr>
          <w:sz w:val="22"/>
          <w:szCs w:val="22"/>
        </w:rPr>
        <w:t xml:space="preserve"> znižuje hladiny </w:t>
      </w:r>
      <w:proofErr w:type="spellStart"/>
      <w:r w:rsidRPr="00D929C5">
        <w:rPr>
          <w:sz w:val="22"/>
          <w:szCs w:val="22"/>
        </w:rPr>
        <w:t>estradiolu</w:t>
      </w:r>
      <w:proofErr w:type="spellEnd"/>
      <w:r w:rsidRPr="00D929C5">
        <w:rPr>
          <w:sz w:val="22"/>
          <w:szCs w:val="22"/>
        </w:rPr>
        <w:t xml:space="preserve">, preto sa </w:t>
      </w:r>
      <w:proofErr w:type="spellStart"/>
      <w:r w:rsidR="004D743F">
        <w:rPr>
          <w:sz w:val="22"/>
          <w:szCs w:val="22"/>
        </w:rPr>
        <w:t>anstrozol</w:t>
      </w:r>
      <w:proofErr w:type="spellEnd"/>
      <w:r w:rsidRPr="00D929C5">
        <w:rPr>
          <w:sz w:val="22"/>
          <w:szCs w:val="22"/>
        </w:rPr>
        <w:t xml:space="preserve"> nesmie užívať ako </w:t>
      </w:r>
      <w:r w:rsidR="004D743F">
        <w:rPr>
          <w:sz w:val="22"/>
          <w:szCs w:val="22"/>
        </w:rPr>
        <w:t>doplnok</w:t>
      </w:r>
      <w:r w:rsidRPr="00D929C5">
        <w:rPr>
          <w:sz w:val="22"/>
          <w:szCs w:val="22"/>
        </w:rPr>
        <w:t xml:space="preserve"> </w:t>
      </w:r>
      <w:r w:rsidRPr="00D929C5">
        <w:rPr>
          <w:sz w:val="22"/>
          <w:szCs w:val="22"/>
        </w:rPr>
        <w:lastRenderedPageBreak/>
        <w:t>k liečbe rastovým hormónom u dievčat s </w:t>
      </w:r>
      <w:proofErr w:type="spellStart"/>
      <w:r w:rsidRPr="00D929C5">
        <w:rPr>
          <w:sz w:val="22"/>
          <w:szCs w:val="22"/>
        </w:rPr>
        <w:t>deficienciou</w:t>
      </w:r>
      <w:proofErr w:type="spellEnd"/>
      <w:r w:rsidRPr="00D929C5">
        <w:rPr>
          <w:sz w:val="22"/>
          <w:szCs w:val="22"/>
        </w:rPr>
        <w:t xml:space="preserve"> rastového hormónu. Dlhodobé údaje o bezpečnosti u detí a dospievajúcich nie sú dostupné</w:t>
      </w:r>
      <w:r w:rsidRPr="00D929C5">
        <w:rPr>
          <w:bCs/>
          <w:sz w:val="22"/>
          <w:szCs w:val="22"/>
        </w:rPr>
        <w:t>.</w:t>
      </w:r>
    </w:p>
    <w:p w14:paraId="70A5FAFB" w14:textId="77777777" w:rsidR="00D7043B" w:rsidRPr="00D929C5" w:rsidRDefault="00D7043B" w:rsidP="00D7043B">
      <w:pPr>
        <w:pStyle w:val="Zkladntext"/>
        <w:rPr>
          <w:sz w:val="22"/>
          <w:szCs w:val="22"/>
        </w:rPr>
      </w:pPr>
    </w:p>
    <w:p w14:paraId="2A9A60ED" w14:textId="77777777" w:rsidR="00D7043B" w:rsidRPr="002F32F0" w:rsidRDefault="00D7043B" w:rsidP="00D7043B">
      <w:pPr>
        <w:pStyle w:val="Zkladntext2"/>
        <w:jc w:val="left"/>
        <w:rPr>
          <w:rFonts w:ascii="Times New Roman" w:hAnsi="Times New Roman"/>
          <w:sz w:val="22"/>
          <w:szCs w:val="22"/>
        </w:rPr>
      </w:pPr>
      <w:r w:rsidRPr="002F32F0">
        <w:rPr>
          <w:rFonts w:ascii="Times New Roman" w:hAnsi="Times New Roman"/>
          <w:sz w:val="22"/>
          <w:szCs w:val="22"/>
        </w:rPr>
        <w:t>Precitlivenosť na laktózu</w:t>
      </w:r>
    </w:p>
    <w:p w14:paraId="7F8533BE" w14:textId="77777777" w:rsidR="00D7043B" w:rsidRPr="00D929C5" w:rsidRDefault="00D7043B" w:rsidP="00D7043B">
      <w:pPr>
        <w:rPr>
          <w:sz w:val="22"/>
          <w:szCs w:val="22"/>
        </w:rPr>
      </w:pPr>
      <w:r w:rsidRPr="00D929C5">
        <w:rPr>
          <w:sz w:val="22"/>
          <w:szCs w:val="22"/>
        </w:rPr>
        <w:t xml:space="preserve">Tento liek obsahuje laktózu. </w:t>
      </w:r>
      <w:r w:rsidRPr="00D929C5">
        <w:rPr>
          <w:sz w:val="22"/>
          <w:szCs w:val="22"/>
          <w:lang w:val="pt-PT"/>
        </w:rPr>
        <w:t xml:space="preserve">Pacientky so zriedkavými dedičnými problémami </w:t>
      </w:r>
      <w:proofErr w:type="spellStart"/>
      <w:r w:rsidRPr="00D929C5">
        <w:rPr>
          <w:sz w:val="22"/>
          <w:szCs w:val="22"/>
        </w:rPr>
        <w:t>galaktózovej</w:t>
      </w:r>
      <w:proofErr w:type="spellEnd"/>
      <w:r w:rsidRPr="00D929C5">
        <w:rPr>
          <w:sz w:val="22"/>
          <w:szCs w:val="22"/>
        </w:rPr>
        <w:t xml:space="preserve"> intolerancie, </w:t>
      </w:r>
      <w:proofErr w:type="spellStart"/>
      <w:r w:rsidRPr="00D929C5">
        <w:rPr>
          <w:sz w:val="22"/>
          <w:szCs w:val="22"/>
        </w:rPr>
        <w:t>lapónskeho</w:t>
      </w:r>
      <w:proofErr w:type="spellEnd"/>
      <w:r w:rsidRPr="00D929C5">
        <w:rPr>
          <w:sz w:val="22"/>
          <w:szCs w:val="22"/>
        </w:rPr>
        <w:t xml:space="preserve"> deficitu </w:t>
      </w:r>
      <w:proofErr w:type="spellStart"/>
      <w:r w:rsidRPr="00D929C5">
        <w:rPr>
          <w:sz w:val="22"/>
          <w:szCs w:val="22"/>
        </w:rPr>
        <w:t>laktázy</w:t>
      </w:r>
      <w:proofErr w:type="spellEnd"/>
      <w:r w:rsidRPr="00D929C5">
        <w:rPr>
          <w:sz w:val="22"/>
          <w:szCs w:val="22"/>
        </w:rPr>
        <w:t xml:space="preserve"> alebo </w:t>
      </w:r>
      <w:proofErr w:type="spellStart"/>
      <w:r w:rsidRPr="00D929C5">
        <w:rPr>
          <w:sz w:val="22"/>
          <w:szCs w:val="22"/>
        </w:rPr>
        <w:t>glukózo-galaktózovej</w:t>
      </w:r>
      <w:proofErr w:type="spellEnd"/>
      <w:r w:rsidRPr="00D929C5">
        <w:rPr>
          <w:sz w:val="22"/>
          <w:szCs w:val="22"/>
        </w:rPr>
        <w:t xml:space="preserve"> </w:t>
      </w:r>
      <w:proofErr w:type="spellStart"/>
      <w:r w:rsidRPr="00D929C5">
        <w:rPr>
          <w:sz w:val="22"/>
          <w:szCs w:val="22"/>
        </w:rPr>
        <w:t>malabsorpcie</w:t>
      </w:r>
      <w:proofErr w:type="spellEnd"/>
      <w:r w:rsidRPr="00D929C5">
        <w:rPr>
          <w:sz w:val="22"/>
          <w:szCs w:val="22"/>
        </w:rPr>
        <w:t xml:space="preserve"> nesmú</w:t>
      </w:r>
      <w:r w:rsidRPr="00D929C5">
        <w:rPr>
          <w:sz w:val="22"/>
          <w:szCs w:val="22"/>
          <w:lang w:val="pt-PT"/>
        </w:rPr>
        <w:t xml:space="preserve"> užívať tento liek.</w:t>
      </w:r>
      <w:r w:rsidRPr="00D929C5">
        <w:rPr>
          <w:sz w:val="22"/>
          <w:szCs w:val="22"/>
        </w:rPr>
        <w:t xml:space="preserve"> </w:t>
      </w:r>
    </w:p>
    <w:p w14:paraId="341F0373" w14:textId="77777777" w:rsidR="00FC67C3" w:rsidRDefault="00FC67C3">
      <w:pPr>
        <w:ind w:left="705"/>
        <w:rPr>
          <w:sz w:val="22"/>
          <w:szCs w:val="22"/>
        </w:rPr>
      </w:pPr>
    </w:p>
    <w:p w14:paraId="24D41D55" w14:textId="77777777" w:rsidR="00FC67C3" w:rsidRDefault="00FC67C3">
      <w:pPr>
        <w:rPr>
          <w:b/>
          <w:sz w:val="22"/>
          <w:szCs w:val="22"/>
        </w:rPr>
      </w:pPr>
      <w:r>
        <w:rPr>
          <w:b/>
          <w:sz w:val="22"/>
          <w:szCs w:val="22"/>
        </w:rPr>
        <w:t>4.5</w:t>
      </w:r>
      <w:r>
        <w:rPr>
          <w:b/>
          <w:sz w:val="22"/>
          <w:szCs w:val="22"/>
        </w:rPr>
        <w:tab/>
        <w:t>Liekové a iné interakcie</w:t>
      </w:r>
    </w:p>
    <w:p w14:paraId="78761573" w14:textId="77777777" w:rsidR="00FC67C3" w:rsidRDefault="00FC67C3">
      <w:pPr>
        <w:rPr>
          <w:b/>
          <w:sz w:val="22"/>
          <w:szCs w:val="22"/>
        </w:rPr>
      </w:pPr>
    </w:p>
    <w:p w14:paraId="6521D93B" w14:textId="77777777" w:rsidR="004D743F" w:rsidRPr="00D929C5" w:rsidRDefault="004D743F" w:rsidP="004D743F">
      <w:pPr>
        <w:autoSpaceDE w:val="0"/>
        <w:autoSpaceDN w:val="0"/>
        <w:adjustRightInd w:val="0"/>
        <w:rPr>
          <w:sz w:val="22"/>
          <w:szCs w:val="22"/>
        </w:rPr>
      </w:pPr>
      <w:proofErr w:type="spellStart"/>
      <w:r w:rsidRPr="00D929C5">
        <w:rPr>
          <w:sz w:val="22"/>
          <w:szCs w:val="22"/>
        </w:rPr>
        <w:t>Anastrozol</w:t>
      </w:r>
      <w:proofErr w:type="spellEnd"/>
      <w:r w:rsidRPr="00D929C5">
        <w:rPr>
          <w:sz w:val="22"/>
          <w:szCs w:val="22"/>
        </w:rPr>
        <w:t xml:space="preserve"> </w:t>
      </w:r>
      <w:proofErr w:type="spellStart"/>
      <w:r w:rsidRPr="00D929C5">
        <w:rPr>
          <w:sz w:val="22"/>
          <w:szCs w:val="22"/>
        </w:rPr>
        <w:t>inhibuje</w:t>
      </w:r>
      <w:proofErr w:type="spellEnd"/>
      <w:r w:rsidRPr="00D929C5">
        <w:rPr>
          <w:sz w:val="22"/>
          <w:szCs w:val="22"/>
        </w:rPr>
        <w:t xml:space="preserve"> CYP 1A2, 2C8/9 a 3A4 </w:t>
      </w:r>
      <w:r w:rsidRPr="00D929C5">
        <w:rPr>
          <w:i/>
          <w:iCs/>
          <w:sz w:val="22"/>
          <w:szCs w:val="22"/>
        </w:rPr>
        <w:t>in vitro</w:t>
      </w:r>
      <w:r w:rsidRPr="00D929C5">
        <w:rPr>
          <w:sz w:val="22"/>
          <w:szCs w:val="22"/>
        </w:rPr>
        <w:t xml:space="preserve">. Klinické štúdie s </w:t>
      </w:r>
      <w:proofErr w:type="spellStart"/>
      <w:r w:rsidRPr="007D20FB">
        <w:rPr>
          <w:iCs/>
          <w:sz w:val="22"/>
          <w:szCs w:val="22"/>
        </w:rPr>
        <w:t>antipyrínom</w:t>
      </w:r>
      <w:proofErr w:type="spellEnd"/>
      <w:r w:rsidRPr="00D929C5">
        <w:rPr>
          <w:sz w:val="22"/>
          <w:szCs w:val="22"/>
        </w:rPr>
        <w:t xml:space="preserve"> a </w:t>
      </w:r>
      <w:proofErr w:type="spellStart"/>
      <w:r w:rsidRPr="00D929C5">
        <w:rPr>
          <w:sz w:val="22"/>
          <w:szCs w:val="22"/>
        </w:rPr>
        <w:t>warfarínom</w:t>
      </w:r>
      <w:proofErr w:type="spellEnd"/>
      <w:r w:rsidRPr="00D929C5">
        <w:rPr>
          <w:sz w:val="22"/>
          <w:szCs w:val="22"/>
        </w:rPr>
        <w:t xml:space="preserve"> ukázali, že </w:t>
      </w:r>
      <w:proofErr w:type="spellStart"/>
      <w:r w:rsidRPr="00D929C5">
        <w:rPr>
          <w:sz w:val="22"/>
          <w:szCs w:val="22"/>
        </w:rPr>
        <w:t>anastrozol</w:t>
      </w:r>
      <w:proofErr w:type="spellEnd"/>
      <w:r w:rsidRPr="00D929C5">
        <w:rPr>
          <w:sz w:val="22"/>
          <w:szCs w:val="22"/>
        </w:rPr>
        <w:t xml:space="preserve"> v dávke 1 mg </w:t>
      </w:r>
      <w:proofErr w:type="spellStart"/>
      <w:r w:rsidRPr="00D929C5">
        <w:rPr>
          <w:sz w:val="22"/>
          <w:szCs w:val="22"/>
        </w:rPr>
        <w:t>neinhibuje</w:t>
      </w:r>
      <w:proofErr w:type="spellEnd"/>
      <w:r w:rsidRPr="00D929C5">
        <w:rPr>
          <w:sz w:val="22"/>
          <w:szCs w:val="22"/>
        </w:rPr>
        <w:t xml:space="preserve"> významne metabolizmus </w:t>
      </w:r>
      <w:proofErr w:type="spellStart"/>
      <w:r w:rsidRPr="007D20FB">
        <w:rPr>
          <w:iCs/>
          <w:sz w:val="22"/>
          <w:szCs w:val="22"/>
        </w:rPr>
        <w:t>antipyrínu</w:t>
      </w:r>
      <w:proofErr w:type="spellEnd"/>
      <w:r w:rsidRPr="00D929C5">
        <w:rPr>
          <w:sz w:val="22"/>
          <w:szCs w:val="22"/>
        </w:rPr>
        <w:t xml:space="preserve"> a R- a S-</w:t>
      </w:r>
      <w:proofErr w:type="spellStart"/>
      <w:r w:rsidRPr="00D929C5">
        <w:rPr>
          <w:sz w:val="22"/>
          <w:szCs w:val="22"/>
        </w:rPr>
        <w:t>warfarínu</w:t>
      </w:r>
      <w:proofErr w:type="spellEnd"/>
      <w:r w:rsidRPr="00D929C5">
        <w:rPr>
          <w:sz w:val="22"/>
          <w:szCs w:val="22"/>
        </w:rPr>
        <w:t xml:space="preserve">, čo naznačuje, že je nepravdepodobné, že by súbežné podanie </w:t>
      </w:r>
      <w:proofErr w:type="spellStart"/>
      <w:r w:rsidR="001F6E1B">
        <w:rPr>
          <w:sz w:val="22"/>
          <w:szCs w:val="22"/>
        </w:rPr>
        <w:t>anastrozolu</w:t>
      </w:r>
      <w:proofErr w:type="spellEnd"/>
      <w:r w:rsidRPr="00D929C5">
        <w:rPr>
          <w:sz w:val="22"/>
          <w:szCs w:val="22"/>
        </w:rPr>
        <w:t xml:space="preserve"> s inými liekmi viedlo ku klinicky významným interakciám lieku sprostredkovaným</w:t>
      </w:r>
      <w:r w:rsidR="001F6E1B">
        <w:rPr>
          <w:sz w:val="22"/>
          <w:szCs w:val="22"/>
        </w:rPr>
        <w:t>i</w:t>
      </w:r>
      <w:r w:rsidRPr="00D929C5">
        <w:rPr>
          <w:sz w:val="22"/>
          <w:szCs w:val="22"/>
        </w:rPr>
        <w:t xml:space="preserve"> enzýmami CYP.</w:t>
      </w:r>
    </w:p>
    <w:p w14:paraId="5E97A165" w14:textId="77777777" w:rsidR="004D743F" w:rsidRPr="00D929C5" w:rsidRDefault="004D743F" w:rsidP="004D743F">
      <w:pPr>
        <w:rPr>
          <w:sz w:val="22"/>
          <w:szCs w:val="22"/>
        </w:rPr>
      </w:pPr>
    </w:p>
    <w:p w14:paraId="7A178E48" w14:textId="77777777" w:rsidR="004D743F" w:rsidRPr="00D929C5" w:rsidRDefault="004D743F" w:rsidP="002F32F0">
      <w:pPr>
        <w:autoSpaceDE w:val="0"/>
        <w:autoSpaceDN w:val="0"/>
        <w:adjustRightInd w:val="0"/>
        <w:rPr>
          <w:sz w:val="22"/>
          <w:szCs w:val="22"/>
        </w:rPr>
      </w:pPr>
      <w:r w:rsidRPr="00D929C5">
        <w:rPr>
          <w:sz w:val="22"/>
          <w:szCs w:val="22"/>
        </w:rPr>
        <w:t xml:space="preserve">Neidentifikovali sa enzýmy </w:t>
      </w:r>
      <w:proofErr w:type="spellStart"/>
      <w:r w:rsidRPr="00D929C5">
        <w:rPr>
          <w:sz w:val="22"/>
          <w:szCs w:val="22"/>
        </w:rPr>
        <w:t>sprostredkujúce</w:t>
      </w:r>
      <w:proofErr w:type="spellEnd"/>
      <w:r w:rsidRPr="00D929C5">
        <w:rPr>
          <w:sz w:val="22"/>
          <w:szCs w:val="22"/>
        </w:rPr>
        <w:t xml:space="preserve"> metabolizmus </w:t>
      </w:r>
      <w:proofErr w:type="spellStart"/>
      <w:r w:rsidRPr="00D929C5">
        <w:rPr>
          <w:sz w:val="22"/>
          <w:szCs w:val="22"/>
        </w:rPr>
        <w:t>anastrozolu</w:t>
      </w:r>
      <w:proofErr w:type="spellEnd"/>
      <w:r w:rsidRPr="00D929C5">
        <w:rPr>
          <w:sz w:val="22"/>
          <w:szCs w:val="22"/>
        </w:rPr>
        <w:t xml:space="preserve">. </w:t>
      </w:r>
      <w:proofErr w:type="spellStart"/>
      <w:r w:rsidRPr="00D929C5">
        <w:rPr>
          <w:sz w:val="22"/>
          <w:szCs w:val="22"/>
        </w:rPr>
        <w:t>Cimetidín</w:t>
      </w:r>
      <w:proofErr w:type="spellEnd"/>
      <w:r w:rsidRPr="00D929C5">
        <w:rPr>
          <w:sz w:val="22"/>
          <w:szCs w:val="22"/>
        </w:rPr>
        <w:t xml:space="preserve">, slabý, nešpecifický inhibítor enzýmov CYP, neovplyvnil plazmatické koncentrácie </w:t>
      </w:r>
      <w:proofErr w:type="spellStart"/>
      <w:r w:rsidRPr="00D929C5">
        <w:rPr>
          <w:sz w:val="22"/>
          <w:szCs w:val="22"/>
        </w:rPr>
        <w:t>anastrozolu</w:t>
      </w:r>
      <w:proofErr w:type="spellEnd"/>
      <w:r w:rsidRPr="00D929C5">
        <w:rPr>
          <w:sz w:val="22"/>
          <w:szCs w:val="22"/>
        </w:rPr>
        <w:t>. Účinok silnýc</w:t>
      </w:r>
      <w:r w:rsidR="001F6E1B">
        <w:rPr>
          <w:sz w:val="22"/>
          <w:szCs w:val="22"/>
        </w:rPr>
        <w:t>h inhibítorov CYP nie je známy.</w:t>
      </w:r>
    </w:p>
    <w:p w14:paraId="74BA6440" w14:textId="77777777" w:rsidR="004D743F" w:rsidRPr="00D929C5" w:rsidRDefault="004D743F" w:rsidP="004D743F">
      <w:pPr>
        <w:rPr>
          <w:sz w:val="22"/>
          <w:szCs w:val="22"/>
        </w:rPr>
      </w:pPr>
      <w:r w:rsidRPr="00D929C5">
        <w:rPr>
          <w:sz w:val="22"/>
          <w:szCs w:val="22"/>
        </w:rPr>
        <w:t>Pri preskúmaní databázy bezpečnosti z klinických štúdií sa nezistila žiadna klinicky významná interakcia u </w:t>
      </w:r>
      <w:proofErr w:type="spellStart"/>
      <w:r w:rsidRPr="00D929C5">
        <w:rPr>
          <w:sz w:val="22"/>
          <w:szCs w:val="22"/>
        </w:rPr>
        <w:t>pacientok</w:t>
      </w:r>
      <w:proofErr w:type="spellEnd"/>
      <w:r w:rsidRPr="00D929C5">
        <w:rPr>
          <w:sz w:val="22"/>
          <w:szCs w:val="22"/>
        </w:rPr>
        <w:t xml:space="preserve"> liečených </w:t>
      </w:r>
      <w:proofErr w:type="spellStart"/>
      <w:r w:rsidRPr="00D929C5">
        <w:rPr>
          <w:sz w:val="22"/>
          <w:szCs w:val="22"/>
        </w:rPr>
        <w:t>anastrozolom</w:t>
      </w:r>
      <w:proofErr w:type="spellEnd"/>
      <w:r w:rsidRPr="00D929C5">
        <w:rPr>
          <w:sz w:val="22"/>
          <w:szCs w:val="22"/>
        </w:rPr>
        <w:t>, ktoré užívali/používali ďalšie bežne predpisované lieky. Nepozorovali sa žiadne klinicky významné interakcie s </w:t>
      </w:r>
      <w:proofErr w:type="spellStart"/>
      <w:r w:rsidRPr="00D929C5">
        <w:rPr>
          <w:sz w:val="22"/>
          <w:szCs w:val="22"/>
        </w:rPr>
        <w:t>bifosfonátmi</w:t>
      </w:r>
      <w:proofErr w:type="spellEnd"/>
      <w:r w:rsidRPr="00D929C5">
        <w:rPr>
          <w:sz w:val="22"/>
          <w:szCs w:val="22"/>
        </w:rPr>
        <w:t xml:space="preserve"> (pozri časť 5.1).</w:t>
      </w:r>
    </w:p>
    <w:p w14:paraId="2DA4F472" w14:textId="77777777" w:rsidR="004D743F" w:rsidRPr="00D929C5" w:rsidRDefault="004D743F" w:rsidP="004D743F">
      <w:pPr>
        <w:rPr>
          <w:sz w:val="22"/>
          <w:szCs w:val="22"/>
        </w:rPr>
      </w:pPr>
    </w:p>
    <w:p w14:paraId="2C42835F" w14:textId="77777777" w:rsidR="004D743F" w:rsidRPr="00D929C5" w:rsidRDefault="004D743F" w:rsidP="004D743F">
      <w:pPr>
        <w:rPr>
          <w:sz w:val="22"/>
          <w:szCs w:val="22"/>
        </w:rPr>
      </w:pPr>
      <w:r w:rsidRPr="00D929C5">
        <w:rPr>
          <w:sz w:val="22"/>
          <w:szCs w:val="22"/>
        </w:rPr>
        <w:t xml:space="preserve">Je potrebné vyhnúť sa súbežnému podávaniu </w:t>
      </w:r>
      <w:proofErr w:type="spellStart"/>
      <w:r w:rsidRPr="00D929C5">
        <w:rPr>
          <w:sz w:val="22"/>
          <w:szCs w:val="22"/>
        </w:rPr>
        <w:t>anastrozolu</w:t>
      </w:r>
      <w:proofErr w:type="spellEnd"/>
      <w:r w:rsidRPr="00D929C5">
        <w:rPr>
          <w:sz w:val="22"/>
          <w:szCs w:val="22"/>
        </w:rPr>
        <w:t xml:space="preserve"> s </w:t>
      </w:r>
      <w:proofErr w:type="spellStart"/>
      <w:r w:rsidRPr="00D929C5">
        <w:rPr>
          <w:sz w:val="22"/>
          <w:szCs w:val="22"/>
        </w:rPr>
        <w:t>tamoxif</w:t>
      </w:r>
      <w:r w:rsidR="001F6E1B">
        <w:rPr>
          <w:sz w:val="22"/>
          <w:szCs w:val="22"/>
        </w:rPr>
        <w:t>é</w:t>
      </w:r>
      <w:r w:rsidRPr="00D929C5">
        <w:rPr>
          <w:sz w:val="22"/>
          <w:szCs w:val="22"/>
        </w:rPr>
        <w:t>nom</w:t>
      </w:r>
      <w:proofErr w:type="spellEnd"/>
      <w:r w:rsidRPr="00D929C5">
        <w:rPr>
          <w:sz w:val="22"/>
          <w:szCs w:val="22"/>
        </w:rPr>
        <w:t xml:space="preserve"> alebo liečbou obsahujúcou estrogén, pretože to môže znížiť jeho farmakologický účinok (pozri časti 4.</w:t>
      </w:r>
      <w:r w:rsidR="001F6E1B">
        <w:rPr>
          <w:sz w:val="22"/>
          <w:szCs w:val="22"/>
        </w:rPr>
        <w:t>4</w:t>
      </w:r>
      <w:r w:rsidRPr="00D929C5">
        <w:rPr>
          <w:sz w:val="22"/>
          <w:szCs w:val="22"/>
        </w:rPr>
        <w:t xml:space="preserve"> a 5.1).</w:t>
      </w:r>
    </w:p>
    <w:p w14:paraId="0EB691B5" w14:textId="77777777" w:rsidR="00FC67C3" w:rsidRDefault="00FC67C3">
      <w:pPr>
        <w:rPr>
          <w:b/>
          <w:sz w:val="22"/>
          <w:szCs w:val="22"/>
        </w:rPr>
      </w:pPr>
    </w:p>
    <w:p w14:paraId="0D007718" w14:textId="77777777" w:rsidR="00FC67C3" w:rsidRDefault="00FC67C3">
      <w:pPr>
        <w:rPr>
          <w:b/>
          <w:sz w:val="22"/>
          <w:szCs w:val="22"/>
        </w:rPr>
      </w:pPr>
      <w:r>
        <w:rPr>
          <w:b/>
          <w:sz w:val="22"/>
          <w:szCs w:val="22"/>
        </w:rPr>
        <w:t>4.6</w:t>
      </w:r>
      <w:r>
        <w:rPr>
          <w:b/>
          <w:sz w:val="22"/>
          <w:szCs w:val="22"/>
        </w:rPr>
        <w:tab/>
      </w:r>
      <w:proofErr w:type="spellStart"/>
      <w:r w:rsidR="001F6E1B">
        <w:rPr>
          <w:b/>
          <w:sz w:val="22"/>
          <w:szCs w:val="22"/>
        </w:rPr>
        <w:t>Fertilita</w:t>
      </w:r>
      <w:proofErr w:type="spellEnd"/>
      <w:r w:rsidR="001F6E1B">
        <w:rPr>
          <w:b/>
          <w:sz w:val="22"/>
          <w:szCs w:val="22"/>
        </w:rPr>
        <w:t>, g</w:t>
      </w:r>
      <w:r>
        <w:rPr>
          <w:b/>
          <w:sz w:val="22"/>
          <w:szCs w:val="22"/>
        </w:rPr>
        <w:t>ravidita a laktácia</w:t>
      </w:r>
    </w:p>
    <w:p w14:paraId="65E578E2" w14:textId="77777777" w:rsidR="00FC67C3" w:rsidRDefault="00FC67C3">
      <w:pPr>
        <w:rPr>
          <w:b/>
          <w:sz w:val="22"/>
          <w:szCs w:val="22"/>
        </w:rPr>
      </w:pPr>
    </w:p>
    <w:p w14:paraId="2F5B538A" w14:textId="77777777" w:rsidR="00FC67C3" w:rsidRDefault="00FC67C3">
      <w:pPr>
        <w:rPr>
          <w:sz w:val="22"/>
          <w:szCs w:val="22"/>
          <w:u w:val="single"/>
        </w:rPr>
      </w:pPr>
      <w:r>
        <w:rPr>
          <w:sz w:val="22"/>
          <w:szCs w:val="22"/>
          <w:u w:val="single"/>
        </w:rPr>
        <w:t>Gravidita</w:t>
      </w:r>
    </w:p>
    <w:p w14:paraId="5DA09C03" w14:textId="77777777" w:rsidR="00FC67C3" w:rsidRDefault="00FC67C3">
      <w:pPr>
        <w:rPr>
          <w:sz w:val="22"/>
          <w:szCs w:val="22"/>
        </w:rPr>
      </w:pPr>
      <w:r>
        <w:rPr>
          <w:sz w:val="22"/>
          <w:szCs w:val="22"/>
        </w:rPr>
        <w:t xml:space="preserve">Neexistujú žiadne údaje o podávaní </w:t>
      </w:r>
      <w:proofErr w:type="spellStart"/>
      <w:r>
        <w:rPr>
          <w:sz w:val="22"/>
          <w:szCs w:val="22"/>
        </w:rPr>
        <w:t>anastrozolu</w:t>
      </w:r>
      <w:proofErr w:type="spellEnd"/>
      <w:r>
        <w:rPr>
          <w:sz w:val="22"/>
          <w:szCs w:val="22"/>
        </w:rPr>
        <w:t xml:space="preserve"> tehotným </w:t>
      </w:r>
      <w:proofErr w:type="spellStart"/>
      <w:r>
        <w:rPr>
          <w:sz w:val="22"/>
          <w:szCs w:val="22"/>
        </w:rPr>
        <w:t>pacientkám</w:t>
      </w:r>
      <w:proofErr w:type="spellEnd"/>
      <w:r>
        <w:rPr>
          <w:sz w:val="22"/>
          <w:szCs w:val="22"/>
        </w:rPr>
        <w:t xml:space="preserve">. Štúdie </w:t>
      </w:r>
      <w:r>
        <w:rPr>
          <w:noProof/>
          <w:sz w:val="22"/>
          <w:szCs w:val="22"/>
        </w:rPr>
        <w:t xml:space="preserve">na zvieratách </w:t>
      </w:r>
      <w:r>
        <w:rPr>
          <w:sz w:val="22"/>
          <w:szCs w:val="22"/>
        </w:rPr>
        <w:t xml:space="preserve">preukázali </w:t>
      </w:r>
      <w:r>
        <w:rPr>
          <w:noProof/>
          <w:sz w:val="22"/>
          <w:szCs w:val="22"/>
        </w:rPr>
        <w:t>reprodukčnú</w:t>
      </w:r>
      <w:r>
        <w:rPr>
          <w:sz w:val="22"/>
          <w:szCs w:val="22"/>
        </w:rPr>
        <w:t xml:space="preserve"> toxicitu (pozri časť 5.3). </w:t>
      </w:r>
      <w:proofErr w:type="spellStart"/>
      <w:r>
        <w:rPr>
          <w:sz w:val="22"/>
          <w:szCs w:val="22"/>
        </w:rPr>
        <w:t>Anastrozol</w:t>
      </w:r>
      <w:proofErr w:type="spellEnd"/>
      <w:r>
        <w:rPr>
          <w:sz w:val="22"/>
          <w:szCs w:val="22"/>
        </w:rPr>
        <w:t xml:space="preserve"> je kontraindikovaný</w:t>
      </w:r>
      <w:r w:rsidR="001F6E1B">
        <w:rPr>
          <w:sz w:val="22"/>
          <w:szCs w:val="22"/>
        </w:rPr>
        <w:t xml:space="preserve"> počas gravidity (pozri časť 4.3)</w:t>
      </w:r>
      <w:r>
        <w:rPr>
          <w:sz w:val="22"/>
          <w:szCs w:val="22"/>
        </w:rPr>
        <w:t>.</w:t>
      </w:r>
    </w:p>
    <w:p w14:paraId="758E18D8" w14:textId="77777777" w:rsidR="00FC67C3" w:rsidRDefault="00FC67C3">
      <w:pPr>
        <w:rPr>
          <w:sz w:val="22"/>
          <w:szCs w:val="22"/>
        </w:rPr>
      </w:pPr>
    </w:p>
    <w:p w14:paraId="675C1D0A" w14:textId="77777777" w:rsidR="00FC67C3" w:rsidRDefault="00FC67C3">
      <w:pPr>
        <w:rPr>
          <w:sz w:val="22"/>
          <w:szCs w:val="22"/>
          <w:u w:val="single"/>
        </w:rPr>
      </w:pPr>
      <w:r>
        <w:rPr>
          <w:sz w:val="22"/>
          <w:szCs w:val="22"/>
          <w:u w:val="single"/>
        </w:rPr>
        <w:t>Laktácia</w:t>
      </w:r>
    </w:p>
    <w:p w14:paraId="53D2EB2A" w14:textId="77777777" w:rsidR="001F6E1B" w:rsidRPr="00D929C5" w:rsidRDefault="001F6E1B" w:rsidP="001F6E1B">
      <w:pPr>
        <w:autoSpaceDE w:val="0"/>
        <w:autoSpaceDN w:val="0"/>
        <w:adjustRightInd w:val="0"/>
        <w:rPr>
          <w:sz w:val="22"/>
          <w:szCs w:val="22"/>
        </w:rPr>
      </w:pPr>
      <w:r w:rsidRPr="00D929C5">
        <w:rPr>
          <w:sz w:val="22"/>
          <w:szCs w:val="22"/>
        </w:rPr>
        <w:t xml:space="preserve">Neexistujú žiadne údaje o použití </w:t>
      </w:r>
      <w:proofErr w:type="spellStart"/>
      <w:r>
        <w:rPr>
          <w:sz w:val="22"/>
          <w:szCs w:val="22"/>
        </w:rPr>
        <w:t>a</w:t>
      </w:r>
      <w:r w:rsidRPr="00D929C5">
        <w:rPr>
          <w:sz w:val="22"/>
          <w:szCs w:val="22"/>
        </w:rPr>
        <w:t>nastrozolu</w:t>
      </w:r>
      <w:proofErr w:type="spellEnd"/>
      <w:r w:rsidRPr="00D929C5">
        <w:rPr>
          <w:sz w:val="22"/>
          <w:szCs w:val="22"/>
        </w:rPr>
        <w:t xml:space="preserve"> počas laktácie. </w:t>
      </w:r>
      <w:proofErr w:type="spellStart"/>
      <w:r w:rsidRPr="00D929C5">
        <w:rPr>
          <w:sz w:val="22"/>
          <w:szCs w:val="22"/>
        </w:rPr>
        <w:t>A</w:t>
      </w:r>
      <w:r>
        <w:rPr>
          <w:sz w:val="22"/>
          <w:szCs w:val="22"/>
        </w:rPr>
        <w:t>nastrozol</w:t>
      </w:r>
      <w:proofErr w:type="spellEnd"/>
      <w:r w:rsidRPr="00D929C5">
        <w:rPr>
          <w:sz w:val="22"/>
          <w:szCs w:val="22"/>
        </w:rPr>
        <w:t xml:space="preserve"> je kontraindikovaný počas laktácie (pozri časť 4.3).</w:t>
      </w:r>
    </w:p>
    <w:p w14:paraId="5D947EA0" w14:textId="77777777" w:rsidR="001F6E1B" w:rsidRDefault="001F6E1B" w:rsidP="001F6E1B">
      <w:pPr>
        <w:rPr>
          <w:noProof/>
          <w:sz w:val="22"/>
          <w:szCs w:val="22"/>
          <w:u w:val="single"/>
        </w:rPr>
      </w:pPr>
    </w:p>
    <w:p w14:paraId="24CAAE32" w14:textId="77777777" w:rsidR="001F6E1B" w:rsidRPr="00D929C5" w:rsidRDefault="001F6E1B" w:rsidP="001F6E1B">
      <w:pPr>
        <w:rPr>
          <w:noProof/>
          <w:sz w:val="22"/>
          <w:szCs w:val="22"/>
          <w:u w:val="single"/>
        </w:rPr>
      </w:pPr>
      <w:r w:rsidRPr="00D929C5">
        <w:rPr>
          <w:noProof/>
          <w:sz w:val="22"/>
          <w:szCs w:val="22"/>
          <w:u w:val="single"/>
        </w:rPr>
        <w:t>Fertilita</w:t>
      </w:r>
    </w:p>
    <w:p w14:paraId="0E89877D" w14:textId="77777777" w:rsidR="001F6E1B" w:rsidRPr="00D929C5" w:rsidRDefault="001F6E1B" w:rsidP="001F6E1B">
      <w:pPr>
        <w:rPr>
          <w:noProof/>
          <w:sz w:val="22"/>
          <w:szCs w:val="22"/>
        </w:rPr>
      </w:pPr>
      <w:r w:rsidRPr="00D929C5">
        <w:rPr>
          <w:sz w:val="22"/>
          <w:szCs w:val="22"/>
        </w:rPr>
        <w:t xml:space="preserve">Účinky </w:t>
      </w:r>
      <w:proofErr w:type="spellStart"/>
      <w:r w:rsidRPr="00D929C5">
        <w:rPr>
          <w:sz w:val="22"/>
          <w:szCs w:val="22"/>
        </w:rPr>
        <w:t>anastrozolu</w:t>
      </w:r>
      <w:proofErr w:type="spellEnd"/>
      <w:r w:rsidRPr="00D929C5">
        <w:rPr>
          <w:sz w:val="22"/>
          <w:szCs w:val="22"/>
        </w:rPr>
        <w:t xml:space="preserve"> na plodnosť u ľudí sa neskúmali. Štúdie na zvieratách preukázali reprodukčnú toxicitu (pozri časť 5.3).</w:t>
      </w:r>
    </w:p>
    <w:p w14:paraId="4D1F7949" w14:textId="77777777" w:rsidR="00FC67C3" w:rsidRDefault="00FC67C3">
      <w:pPr>
        <w:rPr>
          <w:sz w:val="22"/>
          <w:szCs w:val="22"/>
        </w:rPr>
      </w:pPr>
    </w:p>
    <w:p w14:paraId="4B7CCC2C" w14:textId="77777777" w:rsidR="00FC67C3" w:rsidRDefault="00FC67C3">
      <w:pPr>
        <w:rPr>
          <w:b/>
          <w:sz w:val="22"/>
          <w:szCs w:val="22"/>
        </w:rPr>
      </w:pPr>
      <w:r>
        <w:rPr>
          <w:b/>
          <w:sz w:val="22"/>
          <w:szCs w:val="22"/>
        </w:rPr>
        <w:t>4.7</w:t>
      </w:r>
      <w:r>
        <w:rPr>
          <w:b/>
          <w:sz w:val="22"/>
          <w:szCs w:val="22"/>
        </w:rPr>
        <w:tab/>
        <w:t>Ovplyvnenie schopnosti viesť vozidl</w:t>
      </w:r>
      <w:r w:rsidR="001F6E1B">
        <w:rPr>
          <w:b/>
          <w:sz w:val="22"/>
          <w:szCs w:val="22"/>
        </w:rPr>
        <w:t>á</w:t>
      </w:r>
      <w:r>
        <w:rPr>
          <w:b/>
          <w:sz w:val="22"/>
          <w:szCs w:val="22"/>
        </w:rPr>
        <w:t xml:space="preserve"> a obsluhovať stroje</w:t>
      </w:r>
    </w:p>
    <w:p w14:paraId="0DB187FB" w14:textId="77777777" w:rsidR="00FC67C3" w:rsidRDefault="00FC67C3">
      <w:pPr>
        <w:rPr>
          <w:sz w:val="22"/>
          <w:szCs w:val="22"/>
        </w:rPr>
      </w:pPr>
    </w:p>
    <w:p w14:paraId="6EBA7369" w14:textId="77777777" w:rsidR="001F6E1B" w:rsidRPr="00D929C5" w:rsidRDefault="001F6E1B" w:rsidP="001F6E1B">
      <w:pPr>
        <w:rPr>
          <w:sz w:val="22"/>
          <w:szCs w:val="22"/>
        </w:rPr>
      </w:pPr>
      <w:proofErr w:type="spellStart"/>
      <w:r w:rsidRPr="00D929C5">
        <w:rPr>
          <w:sz w:val="22"/>
          <w:szCs w:val="22"/>
        </w:rPr>
        <w:t>Ana</w:t>
      </w:r>
      <w:r>
        <w:rPr>
          <w:sz w:val="22"/>
          <w:szCs w:val="22"/>
        </w:rPr>
        <w:t>strozol</w:t>
      </w:r>
      <w:proofErr w:type="spellEnd"/>
      <w:r w:rsidRPr="00D929C5">
        <w:rPr>
          <w:sz w:val="22"/>
          <w:szCs w:val="22"/>
        </w:rPr>
        <w:t xml:space="preserve"> nemá žiad</w:t>
      </w:r>
      <w:r>
        <w:rPr>
          <w:sz w:val="22"/>
          <w:szCs w:val="22"/>
        </w:rPr>
        <w:t>en</w:t>
      </w:r>
      <w:r w:rsidRPr="00D929C5">
        <w:rPr>
          <w:sz w:val="22"/>
          <w:szCs w:val="22"/>
        </w:rPr>
        <w:t xml:space="preserve"> alebo zanedbateľný vplyv na schopnosť viesť vozidlá a obsluhovať stroje.  Pri užívaní </w:t>
      </w:r>
      <w:proofErr w:type="spellStart"/>
      <w:r w:rsidRPr="00D929C5">
        <w:rPr>
          <w:sz w:val="22"/>
          <w:szCs w:val="22"/>
        </w:rPr>
        <w:t>anastrozolu</w:t>
      </w:r>
      <w:proofErr w:type="spellEnd"/>
      <w:r w:rsidRPr="00D929C5">
        <w:rPr>
          <w:sz w:val="22"/>
          <w:szCs w:val="22"/>
        </w:rPr>
        <w:t xml:space="preserve"> sa však zaznamenala asténia a </w:t>
      </w:r>
      <w:proofErr w:type="spellStart"/>
      <w:r w:rsidRPr="00D929C5">
        <w:rPr>
          <w:sz w:val="22"/>
          <w:szCs w:val="22"/>
        </w:rPr>
        <w:t>somnolencia</w:t>
      </w:r>
      <w:proofErr w:type="spellEnd"/>
      <w:r w:rsidRPr="00D929C5">
        <w:rPr>
          <w:sz w:val="22"/>
          <w:szCs w:val="22"/>
        </w:rPr>
        <w:t xml:space="preserve">. Ak tieto príznaky pretrvávajú, pri vedení vozidiel alebo obsluhe strojov je potrebná opatrnosť. </w:t>
      </w:r>
    </w:p>
    <w:p w14:paraId="01EA6B13" w14:textId="77777777" w:rsidR="00FC67C3" w:rsidRDefault="00FC67C3">
      <w:pPr>
        <w:ind w:left="705"/>
        <w:rPr>
          <w:sz w:val="22"/>
          <w:szCs w:val="22"/>
        </w:rPr>
      </w:pPr>
    </w:p>
    <w:p w14:paraId="191A68FC" w14:textId="77777777" w:rsidR="00FC67C3" w:rsidRDefault="00FC67C3">
      <w:pPr>
        <w:rPr>
          <w:b/>
          <w:sz w:val="22"/>
          <w:szCs w:val="22"/>
        </w:rPr>
      </w:pPr>
      <w:r>
        <w:rPr>
          <w:b/>
          <w:sz w:val="22"/>
          <w:szCs w:val="22"/>
        </w:rPr>
        <w:t>4.8</w:t>
      </w:r>
      <w:r>
        <w:rPr>
          <w:b/>
          <w:sz w:val="22"/>
          <w:szCs w:val="22"/>
        </w:rPr>
        <w:tab/>
        <w:t>Nežiaduce účinky</w:t>
      </w:r>
    </w:p>
    <w:p w14:paraId="253A3E0E" w14:textId="77777777" w:rsidR="00FC67C3" w:rsidRDefault="00FC67C3">
      <w:pPr>
        <w:rPr>
          <w:sz w:val="22"/>
          <w:szCs w:val="22"/>
        </w:rPr>
      </w:pPr>
    </w:p>
    <w:p w14:paraId="466B5389" w14:textId="77777777" w:rsidR="001F6E1B" w:rsidRPr="00D929C5" w:rsidRDefault="001F6E1B" w:rsidP="001F6E1B">
      <w:pPr>
        <w:autoSpaceDE w:val="0"/>
        <w:autoSpaceDN w:val="0"/>
        <w:adjustRightInd w:val="0"/>
        <w:rPr>
          <w:sz w:val="22"/>
          <w:szCs w:val="22"/>
          <w:lang w:eastAsia="sk-SK"/>
        </w:rPr>
      </w:pPr>
      <w:r w:rsidRPr="00D929C5">
        <w:rPr>
          <w:bCs/>
          <w:sz w:val="22"/>
          <w:szCs w:val="22"/>
        </w:rPr>
        <w:t xml:space="preserve">V nasledujúcej tabuľke sú uvedené nežiaduce účinky z klinických štúdií, štúdií po uvedení lieku na trh alebo spontánnych hlásení. Ak nie je stanovené inak, kategórie frekvencií sa vypočítali z počtu nežiaducich účinkov zaznamenaných v rozsiahlej štúdii fázy III, ktorej sa zúčastnilo 9 366 žien po </w:t>
      </w:r>
      <w:proofErr w:type="spellStart"/>
      <w:r w:rsidRPr="00D929C5">
        <w:rPr>
          <w:bCs/>
          <w:sz w:val="22"/>
          <w:szCs w:val="22"/>
        </w:rPr>
        <w:t>menopauze</w:t>
      </w:r>
      <w:proofErr w:type="spellEnd"/>
      <w:r w:rsidRPr="00D929C5">
        <w:rPr>
          <w:bCs/>
          <w:sz w:val="22"/>
          <w:szCs w:val="22"/>
        </w:rPr>
        <w:t xml:space="preserve"> s </w:t>
      </w:r>
      <w:proofErr w:type="spellStart"/>
      <w:r w:rsidRPr="00D929C5">
        <w:rPr>
          <w:bCs/>
          <w:sz w:val="22"/>
          <w:szCs w:val="22"/>
        </w:rPr>
        <w:t>operabilným</w:t>
      </w:r>
      <w:proofErr w:type="spellEnd"/>
      <w:r w:rsidRPr="00D929C5">
        <w:rPr>
          <w:bCs/>
          <w:sz w:val="22"/>
          <w:szCs w:val="22"/>
        </w:rPr>
        <w:t xml:space="preserve"> karcinómom prsníka, ktoré sa liečili </w:t>
      </w:r>
      <w:proofErr w:type="spellStart"/>
      <w:r w:rsidRPr="00D929C5">
        <w:rPr>
          <w:bCs/>
          <w:sz w:val="22"/>
          <w:szCs w:val="22"/>
        </w:rPr>
        <w:t>adjuvant</w:t>
      </w:r>
      <w:r>
        <w:rPr>
          <w:bCs/>
          <w:sz w:val="22"/>
          <w:szCs w:val="22"/>
        </w:rPr>
        <w:t>n</w:t>
      </w:r>
      <w:r w:rsidRPr="00D929C5">
        <w:rPr>
          <w:bCs/>
          <w:sz w:val="22"/>
          <w:szCs w:val="22"/>
        </w:rPr>
        <w:t>ou</w:t>
      </w:r>
      <w:proofErr w:type="spellEnd"/>
      <w:r w:rsidRPr="00D929C5">
        <w:rPr>
          <w:bCs/>
          <w:sz w:val="22"/>
          <w:szCs w:val="22"/>
        </w:rPr>
        <w:t xml:space="preserve"> liečbou počas piatich rokov </w:t>
      </w:r>
      <w:r w:rsidRPr="00D929C5">
        <w:rPr>
          <w:sz w:val="22"/>
          <w:szCs w:val="22"/>
          <w:lang w:eastAsia="sk-SK"/>
        </w:rPr>
        <w:t>(ATAC štúdia).</w:t>
      </w:r>
    </w:p>
    <w:p w14:paraId="1E708E4E" w14:textId="77777777" w:rsidR="001F6E1B" w:rsidRPr="00D929C5" w:rsidRDefault="001F6E1B" w:rsidP="001F6E1B">
      <w:pPr>
        <w:autoSpaceDE w:val="0"/>
        <w:autoSpaceDN w:val="0"/>
        <w:adjustRightInd w:val="0"/>
        <w:rPr>
          <w:sz w:val="22"/>
          <w:szCs w:val="22"/>
          <w:lang w:eastAsia="sk-SK"/>
        </w:rPr>
      </w:pPr>
    </w:p>
    <w:p w14:paraId="5F101083" w14:textId="77777777" w:rsidR="001F6E1B" w:rsidRPr="00D929C5" w:rsidRDefault="001F6E1B" w:rsidP="001F6E1B">
      <w:pPr>
        <w:autoSpaceDE w:val="0"/>
        <w:autoSpaceDN w:val="0"/>
        <w:adjustRightInd w:val="0"/>
        <w:rPr>
          <w:sz w:val="22"/>
          <w:szCs w:val="22"/>
        </w:rPr>
      </w:pPr>
      <w:r w:rsidRPr="00D929C5">
        <w:rPr>
          <w:sz w:val="22"/>
          <w:szCs w:val="22"/>
        </w:rPr>
        <w:t>Nežiaduce účinky uvedené nižšie sú klasifikované podľa frekvencie výskytu a triedy orgánových systémov (</w:t>
      </w:r>
      <w:proofErr w:type="spellStart"/>
      <w:r w:rsidRPr="00D929C5">
        <w:rPr>
          <w:sz w:val="22"/>
          <w:szCs w:val="22"/>
        </w:rPr>
        <w:t>System</w:t>
      </w:r>
      <w:proofErr w:type="spellEnd"/>
      <w:r w:rsidRPr="00D929C5">
        <w:rPr>
          <w:sz w:val="22"/>
          <w:szCs w:val="22"/>
        </w:rPr>
        <w:t xml:space="preserve"> Organ </w:t>
      </w:r>
      <w:proofErr w:type="spellStart"/>
      <w:r w:rsidRPr="00D929C5">
        <w:rPr>
          <w:sz w:val="22"/>
          <w:szCs w:val="22"/>
        </w:rPr>
        <w:t>Class</w:t>
      </w:r>
      <w:proofErr w:type="spellEnd"/>
      <w:r w:rsidRPr="00D929C5">
        <w:rPr>
          <w:sz w:val="22"/>
          <w:szCs w:val="22"/>
        </w:rPr>
        <w:t xml:space="preserve">, SOC). Zoskupenia frekvencií sú definované podľa nasledujúcej konvencie: veľmi časté (≥ 1/10), časté (≥ 1/100 až &lt; 1/10), menej časté (≥ 1/1 000 až &lt; 1/100), zriedkavé (≥ 1/10 000 až &lt; 1/1 000) a veľmi zriedkavé (&lt; 1/10 000). Najčastejšie sa zaznamenali tieto </w:t>
      </w:r>
      <w:r w:rsidRPr="00D929C5">
        <w:rPr>
          <w:sz w:val="22"/>
          <w:szCs w:val="22"/>
        </w:rPr>
        <w:lastRenderedPageBreak/>
        <w:t>nežiaduce reakcie: bolesť hlavy, návaly tepla, nauzea, vyrážka, bolesť kĺbov, stuhnutosť kĺbov, artritída a asténia.</w:t>
      </w:r>
    </w:p>
    <w:p w14:paraId="06566B0D" w14:textId="77777777" w:rsidR="001F6E1B" w:rsidRDefault="001F6E1B">
      <w:pPr>
        <w:rPr>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01"/>
        <w:gridCol w:w="4536"/>
      </w:tblGrid>
      <w:tr w:rsidR="001F6E1B" w:rsidRPr="00D929C5" w14:paraId="3A6A8A1A" w14:textId="77777777" w:rsidTr="0080685B">
        <w:trPr>
          <w:cantSplit/>
          <w:tblHeader/>
        </w:trPr>
        <w:tc>
          <w:tcPr>
            <w:tcW w:w="9747" w:type="dxa"/>
            <w:gridSpan w:val="3"/>
            <w:tcBorders>
              <w:top w:val="nil"/>
              <w:left w:val="nil"/>
              <w:bottom w:val="single" w:sz="4" w:space="0" w:color="auto"/>
              <w:right w:val="nil"/>
            </w:tcBorders>
          </w:tcPr>
          <w:p w14:paraId="3C55960F" w14:textId="77777777" w:rsidR="001F6E1B" w:rsidRPr="00D929C5" w:rsidRDefault="001F6E1B" w:rsidP="00DA0338">
            <w:pPr>
              <w:rPr>
                <w:b/>
                <w:bCs/>
                <w:sz w:val="22"/>
                <w:szCs w:val="22"/>
              </w:rPr>
            </w:pPr>
            <w:r w:rsidRPr="00D929C5">
              <w:rPr>
                <w:b/>
                <w:bCs/>
                <w:sz w:val="22"/>
                <w:szCs w:val="22"/>
              </w:rPr>
              <w:t>Tabuľka 1</w:t>
            </w:r>
            <w:r w:rsidRPr="00D929C5">
              <w:rPr>
                <w:b/>
                <w:bCs/>
                <w:sz w:val="22"/>
                <w:szCs w:val="22"/>
              </w:rPr>
              <w:tab/>
              <w:t xml:space="preserve">Nežiaduce reakcie podľa </w:t>
            </w:r>
            <w:r w:rsidRPr="00D929C5">
              <w:rPr>
                <w:b/>
                <w:sz w:val="22"/>
                <w:szCs w:val="22"/>
              </w:rPr>
              <w:t xml:space="preserve">triedy orgánových systémov </w:t>
            </w:r>
            <w:r w:rsidRPr="00D929C5">
              <w:rPr>
                <w:b/>
                <w:bCs/>
                <w:sz w:val="22"/>
                <w:szCs w:val="22"/>
              </w:rPr>
              <w:t>a frekvencie</w:t>
            </w:r>
          </w:p>
        </w:tc>
      </w:tr>
      <w:tr w:rsidR="001F6E1B" w:rsidRPr="00D929C5" w14:paraId="67042B37" w14:textId="77777777" w:rsidTr="0080685B">
        <w:trPr>
          <w:cantSplit/>
          <w:tblHeader/>
        </w:trPr>
        <w:tc>
          <w:tcPr>
            <w:tcW w:w="9747" w:type="dxa"/>
            <w:gridSpan w:val="3"/>
            <w:tcBorders>
              <w:top w:val="single" w:sz="4" w:space="0" w:color="auto"/>
            </w:tcBorders>
          </w:tcPr>
          <w:p w14:paraId="2440DA51" w14:textId="77777777" w:rsidR="001F6E1B" w:rsidRPr="00D929C5" w:rsidRDefault="001F6E1B" w:rsidP="00DA0338">
            <w:pPr>
              <w:rPr>
                <w:b/>
                <w:bCs/>
                <w:sz w:val="22"/>
                <w:szCs w:val="22"/>
              </w:rPr>
            </w:pPr>
            <w:r w:rsidRPr="00D929C5">
              <w:rPr>
                <w:b/>
                <w:bCs/>
                <w:sz w:val="22"/>
                <w:szCs w:val="22"/>
              </w:rPr>
              <w:t xml:space="preserve">Nežiaduce reakcie podľa </w:t>
            </w:r>
            <w:r w:rsidRPr="00D929C5">
              <w:rPr>
                <w:b/>
                <w:sz w:val="22"/>
                <w:szCs w:val="22"/>
              </w:rPr>
              <w:t xml:space="preserve">triedy orgánových systémov </w:t>
            </w:r>
            <w:r w:rsidRPr="00D929C5">
              <w:rPr>
                <w:b/>
                <w:bCs/>
                <w:sz w:val="22"/>
                <w:szCs w:val="22"/>
              </w:rPr>
              <w:t>a frekvencie</w:t>
            </w:r>
          </w:p>
        </w:tc>
      </w:tr>
      <w:tr w:rsidR="0080685B" w:rsidRPr="00D929C5" w14:paraId="6D978A02" w14:textId="77777777" w:rsidTr="0080685B">
        <w:trPr>
          <w:trHeight w:val="125"/>
        </w:trPr>
        <w:tc>
          <w:tcPr>
            <w:tcW w:w="3510" w:type="dxa"/>
          </w:tcPr>
          <w:p w14:paraId="25FADC5C" w14:textId="77777777" w:rsidR="0080685B" w:rsidRPr="00D929C5" w:rsidRDefault="0080685B" w:rsidP="00DA0338">
            <w:pPr>
              <w:rPr>
                <w:noProof/>
                <w:sz w:val="22"/>
                <w:szCs w:val="22"/>
              </w:rPr>
            </w:pPr>
            <w:r w:rsidRPr="00D929C5">
              <w:rPr>
                <w:sz w:val="22"/>
                <w:szCs w:val="22"/>
              </w:rPr>
              <w:t>Poruchy metabolizmu a</w:t>
            </w:r>
            <w:r>
              <w:rPr>
                <w:sz w:val="22"/>
                <w:szCs w:val="22"/>
              </w:rPr>
              <w:t> </w:t>
            </w:r>
            <w:r w:rsidRPr="00D929C5">
              <w:rPr>
                <w:sz w:val="22"/>
                <w:szCs w:val="22"/>
              </w:rPr>
              <w:t>výživy</w:t>
            </w:r>
          </w:p>
        </w:tc>
        <w:tc>
          <w:tcPr>
            <w:tcW w:w="1701" w:type="dxa"/>
          </w:tcPr>
          <w:p w14:paraId="23E4872C" w14:textId="77777777" w:rsidR="0080685B" w:rsidRPr="00D929C5" w:rsidRDefault="0080685B" w:rsidP="00DA0338">
            <w:pPr>
              <w:pStyle w:val="A-TableText"/>
              <w:spacing w:before="0" w:after="0"/>
              <w:rPr>
                <w:szCs w:val="22"/>
                <w:lang w:val="sk-SK"/>
              </w:rPr>
            </w:pPr>
            <w:r w:rsidRPr="00D929C5">
              <w:rPr>
                <w:szCs w:val="22"/>
                <w:lang w:val="sk-SK"/>
              </w:rPr>
              <w:t>Časté</w:t>
            </w:r>
          </w:p>
        </w:tc>
        <w:tc>
          <w:tcPr>
            <w:tcW w:w="4536" w:type="dxa"/>
          </w:tcPr>
          <w:p w14:paraId="11225CFB" w14:textId="77777777" w:rsidR="0080685B" w:rsidRPr="00D929C5" w:rsidRDefault="0080685B" w:rsidP="00DA0338">
            <w:pPr>
              <w:ind w:left="176" w:hanging="142"/>
              <w:rPr>
                <w:sz w:val="22"/>
                <w:szCs w:val="22"/>
              </w:rPr>
            </w:pPr>
            <w:proofErr w:type="spellStart"/>
            <w:r w:rsidRPr="00D929C5">
              <w:rPr>
                <w:sz w:val="22"/>
                <w:szCs w:val="22"/>
              </w:rPr>
              <w:t>Anorexia</w:t>
            </w:r>
            <w:proofErr w:type="spellEnd"/>
          </w:p>
          <w:p w14:paraId="6E55D349" w14:textId="77777777" w:rsidR="0080685B" w:rsidRPr="00D929C5" w:rsidRDefault="0080685B" w:rsidP="00DA0338">
            <w:pPr>
              <w:rPr>
                <w:sz w:val="22"/>
                <w:szCs w:val="22"/>
              </w:rPr>
            </w:pPr>
            <w:proofErr w:type="spellStart"/>
            <w:r w:rsidRPr="00D929C5">
              <w:rPr>
                <w:sz w:val="22"/>
                <w:szCs w:val="22"/>
              </w:rPr>
              <w:t>Hypercholesterolémia</w:t>
            </w:r>
            <w:proofErr w:type="spellEnd"/>
          </w:p>
        </w:tc>
      </w:tr>
      <w:tr w:rsidR="0080685B" w:rsidRPr="00D929C5" w14:paraId="740F1118" w14:textId="77777777" w:rsidTr="0080685B">
        <w:trPr>
          <w:trHeight w:val="125"/>
        </w:trPr>
        <w:tc>
          <w:tcPr>
            <w:tcW w:w="3510" w:type="dxa"/>
          </w:tcPr>
          <w:p w14:paraId="69965D8B" w14:textId="77777777" w:rsidR="0080685B" w:rsidRPr="00D929C5" w:rsidRDefault="0080685B" w:rsidP="00DA0338">
            <w:pPr>
              <w:rPr>
                <w:sz w:val="22"/>
                <w:szCs w:val="22"/>
              </w:rPr>
            </w:pPr>
            <w:r>
              <w:rPr>
                <w:sz w:val="22"/>
                <w:szCs w:val="22"/>
              </w:rPr>
              <w:t>Psychické poruchy</w:t>
            </w:r>
          </w:p>
        </w:tc>
        <w:tc>
          <w:tcPr>
            <w:tcW w:w="1701" w:type="dxa"/>
          </w:tcPr>
          <w:p w14:paraId="488F9036" w14:textId="77777777" w:rsidR="0080685B" w:rsidRPr="00D929C5" w:rsidRDefault="0080685B" w:rsidP="00DA0338">
            <w:pPr>
              <w:pStyle w:val="A-TableText"/>
              <w:spacing w:before="0" w:after="0"/>
              <w:rPr>
                <w:szCs w:val="22"/>
                <w:lang w:val="sk-SK"/>
              </w:rPr>
            </w:pPr>
            <w:r>
              <w:rPr>
                <w:szCs w:val="22"/>
                <w:lang w:val="sk-SK"/>
              </w:rPr>
              <w:t>Veľmi časté</w:t>
            </w:r>
          </w:p>
        </w:tc>
        <w:tc>
          <w:tcPr>
            <w:tcW w:w="4536" w:type="dxa"/>
          </w:tcPr>
          <w:p w14:paraId="469C44FA" w14:textId="77777777" w:rsidR="0080685B" w:rsidRPr="00D929C5" w:rsidRDefault="0080685B" w:rsidP="00DA0338">
            <w:pPr>
              <w:ind w:left="176" w:hanging="142"/>
              <w:rPr>
                <w:sz w:val="22"/>
                <w:szCs w:val="22"/>
              </w:rPr>
            </w:pPr>
            <w:r>
              <w:rPr>
                <w:sz w:val="22"/>
                <w:szCs w:val="22"/>
              </w:rPr>
              <w:t>Depresia</w:t>
            </w:r>
          </w:p>
        </w:tc>
      </w:tr>
      <w:tr w:rsidR="001F6E1B" w:rsidRPr="00D929C5" w14:paraId="7962CE62" w14:textId="77777777" w:rsidTr="0080685B">
        <w:trPr>
          <w:cantSplit/>
        </w:trPr>
        <w:tc>
          <w:tcPr>
            <w:tcW w:w="3510" w:type="dxa"/>
            <w:vMerge w:val="restart"/>
          </w:tcPr>
          <w:p w14:paraId="010FC39A" w14:textId="77777777" w:rsidR="001F6E1B" w:rsidRPr="00D929C5" w:rsidRDefault="001F6E1B" w:rsidP="00DA0338">
            <w:pPr>
              <w:keepNext/>
              <w:keepLines/>
              <w:rPr>
                <w:noProof/>
                <w:sz w:val="22"/>
                <w:szCs w:val="22"/>
              </w:rPr>
            </w:pPr>
            <w:r w:rsidRPr="00D929C5">
              <w:rPr>
                <w:sz w:val="22"/>
                <w:szCs w:val="22"/>
              </w:rPr>
              <w:t>Poruchy nervového systému</w:t>
            </w:r>
          </w:p>
        </w:tc>
        <w:tc>
          <w:tcPr>
            <w:tcW w:w="1701" w:type="dxa"/>
          </w:tcPr>
          <w:p w14:paraId="54CFA46A" w14:textId="77777777" w:rsidR="001F6E1B" w:rsidRPr="00D929C5" w:rsidRDefault="001F6E1B" w:rsidP="00DA0338">
            <w:pPr>
              <w:pStyle w:val="A-TableText"/>
              <w:spacing w:before="0" w:after="0"/>
              <w:rPr>
                <w:szCs w:val="22"/>
                <w:lang w:val="sk-SK"/>
              </w:rPr>
            </w:pPr>
            <w:r w:rsidRPr="00D929C5">
              <w:rPr>
                <w:szCs w:val="22"/>
                <w:lang w:val="sk-SK"/>
              </w:rPr>
              <w:t>Veľmi časté</w:t>
            </w:r>
          </w:p>
        </w:tc>
        <w:tc>
          <w:tcPr>
            <w:tcW w:w="4536" w:type="dxa"/>
          </w:tcPr>
          <w:p w14:paraId="3CE35C90" w14:textId="77777777" w:rsidR="001F6E1B" w:rsidRPr="00D929C5" w:rsidRDefault="001F6E1B" w:rsidP="00DA0338">
            <w:pPr>
              <w:keepNext/>
              <w:keepLines/>
              <w:rPr>
                <w:sz w:val="22"/>
                <w:szCs w:val="22"/>
              </w:rPr>
            </w:pPr>
            <w:r w:rsidRPr="00D929C5">
              <w:rPr>
                <w:sz w:val="22"/>
                <w:szCs w:val="22"/>
              </w:rPr>
              <w:t>Bolesť hlavy</w:t>
            </w:r>
          </w:p>
        </w:tc>
      </w:tr>
      <w:tr w:rsidR="001F6E1B" w:rsidRPr="00D929C5" w14:paraId="202BD701" w14:textId="77777777" w:rsidTr="0080685B">
        <w:trPr>
          <w:cantSplit/>
        </w:trPr>
        <w:tc>
          <w:tcPr>
            <w:tcW w:w="3510" w:type="dxa"/>
            <w:vMerge/>
          </w:tcPr>
          <w:p w14:paraId="5E949024" w14:textId="77777777" w:rsidR="001F6E1B" w:rsidRPr="00D929C5" w:rsidRDefault="001F6E1B" w:rsidP="00DA0338">
            <w:pPr>
              <w:keepNext/>
              <w:keepLines/>
              <w:rPr>
                <w:sz w:val="22"/>
                <w:szCs w:val="22"/>
              </w:rPr>
            </w:pPr>
          </w:p>
        </w:tc>
        <w:tc>
          <w:tcPr>
            <w:tcW w:w="1701" w:type="dxa"/>
          </w:tcPr>
          <w:p w14:paraId="046AAFBD" w14:textId="77777777" w:rsidR="001F6E1B" w:rsidRPr="00D929C5" w:rsidRDefault="001F6E1B" w:rsidP="00DA0338">
            <w:pPr>
              <w:pStyle w:val="A-TableText"/>
              <w:spacing w:before="0" w:after="0"/>
              <w:rPr>
                <w:szCs w:val="22"/>
                <w:lang w:val="sk-SK"/>
              </w:rPr>
            </w:pPr>
            <w:r w:rsidRPr="00D929C5">
              <w:rPr>
                <w:szCs w:val="22"/>
                <w:lang w:val="sk-SK"/>
              </w:rPr>
              <w:t>Časté</w:t>
            </w:r>
          </w:p>
        </w:tc>
        <w:tc>
          <w:tcPr>
            <w:tcW w:w="4536" w:type="dxa"/>
          </w:tcPr>
          <w:p w14:paraId="0BE4A667" w14:textId="77777777" w:rsidR="001F6E1B" w:rsidRPr="00D929C5" w:rsidRDefault="001F6E1B" w:rsidP="00DA0338">
            <w:pPr>
              <w:tabs>
                <w:tab w:val="left" w:pos="0"/>
              </w:tabs>
              <w:rPr>
                <w:sz w:val="22"/>
                <w:szCs w:val="22"/>
              </w:rPr>
            </w:pPr>
            <w:proofErr w:type="spellStart"/>
            <w:r w:rsidRPr="00D929C5">
              <w:rPr>
                <w:sz w:val="22"/>
                <w:szCs w:val="22"/>
              </w:rPr>
              <w:t>Somnolencia</w:t>
            </w:r>
            <w:proofErr w:type="spellEnd"/>
            <w:r w:rsidRPr="00D929C5">
              <w:rPr>
                <w:sz w:val="22"/>
                <w:szCs w:val="22"/>
              </w:rPr>
              <w:t xml:space="preserve"> </w:t>
            </w:r>
          </w:p>
          <w:p w14:paraId="5DD06E7F" w14:textId="77777777" w:rsidR="001F6E1B" w:rsidRPr="00D929C5" w:rsidRDefault="001F6E1B" w:rsidP="00DA0338">
            <w:pPr>
              <w:keepNext/>
              <w:keepLines/>
              <w:rPr>
                <w:sz w:val="22"/>
                <w:szCs w:val="22"/>
              </w:rPr>
            </w:pPr>
            <w:r w:rsidRPr="00D929C5">
              <w:rPr>
                <w:sz w:val="22"/>
                <w:szCs w:val="22"/>
              </w:rPr>
              <w:t xml:space="preserve">Syndróm </w:t>
            </w:r>
            <w:proofErr w:type="spellStart"/>
            <w:r w:rsidRPr="00D929C5">
              <w:rPr>
                <w:sz w:val="22"/>
                <w:szCs w:val="22"/>
              </w:rPr>
              <w:t>karpálneho</w:t>
            </w:r>
            <w:proofErr w:type="spellEnd"/>
            <w:r w:rsidRPr="00D929C5">
              <w:rPr>
                <w:sz w:val="22"/>
                <w:szCs w:val="22"/>
              </w:rPr>
              <w:t xml:space="preserve"> tunela*</w:t>
            </w:r>
          </w:p>
        </w:tc>
      </w:tr>
      <w:tr w:rsidR="001F6E1B" w:rsidRPr="00D929C5" w14:paraId="1E1A4801" w14:textId="77777777" w:rsidTr="0080685B">
        <w:tc>
          <w:tcPr>
            <w:tcW w:w="3510" w:type="dxa"/>
          </w:tcPr>
          <w:p w14:paraId="4CE4052C" w14:textId="77777777" w:rsidR="001F6E1B" w:rsidRPr="00D929C5" w:rsidRDefault="001F6E1B" w:rsidP="00DA0338">
            <w:pPr>
              <w:rPr>
                <w:noProof/>
                <w:sz w:val="22"/>
                <w:szCs w:val="22"/>
              </w:rPr>
            </w:pPr>
            <w:r w:rsidRPr="00D929C5">
              <w:rPr>
                <w:sz w:val="22"/>
                <w:szCs w:val="22"/>
              </w:rPr>
              <w:t>Poruchy ciev</w:t>
            </w:r>
          </w:p>
        </w:tc>
        <w:tc>
          <w:tcPr>
            <w:tcW w:w="1701" w:type="dxa"/>
          </w:tcPr>
          <w:p w14:paraId="62A75195" w14:textId="77777777" w:rsidR="001F6E1B" w:rsidRPr="00D929C5" w:rsidRDefault="001F6E1B" w:rsidP="00DA0338">
            <w:pPr>
              <w:rPr>
                <w:sz w:val="22"/>
                <w:szCs w:val="22"/>
              </w:rPr>
            </w:pPr>
            <w:r w:rsidRPr="00D929C5">
              <w:rPr>
                <w:sz w:val="22"/>
                <w:szCs w:val="22"/>
              </w:rPr>
              <w:t>Veľmi časté</w:t>
            </w:r>
          </w:p>
        </w:tc>
        <w:tc>
          <w:tcPr>
            <w:tcW w:w="4536" w:type="dxa"/>
          </w:tcPr>
          <w:p w14:paraId="47F1B0D9" w14:textId="77777777" w:rsidR="001F6E1B" w:rsidRPr="00D929C5" w:rsidRDefault="001F6E1B" w:rsidP="00DA0338">
            <w:pPr>
              <w:rPr>
                <w:sz w:val="22"/>
                <w:szCs w:val="22"/>
              </w:rPr>
            </w:pPr>
            <w:r w:rsidRPr="00D929C5">
              <w:rPr>
                <w:sz w:val="22"/>
                <w:szCs w:val="22"/>
              </w:rPr>
              <w:t>Návaly tepla</w:t>
            </w:r>
          </w:p>
        </w:tc>
      </w:tr>
      <w:tr w:rsidR="001F6E1B" w:rsidRPr="00D929C5" w14:paraId="470ADD47" w14:textId="77777777" w:rsidTr="0080685B">
        <w:trPr>
          <w:cantSplit/>
        </w:trPr>
        <w:tc>
          <w:tcPr>
            <w:tcW w:w="3510" w:type="dxa"/>
            <w:vMerge w:val="restart"/>
          </w:tcPr>
          <w:p w14:paraId="714919AA" w14:textId="77777777" w:rsidR="001F6E1B" w:rsidRPr="00D929C5" w:rsidRDefault="001F6E1B" w:rsidP="00DA0338">
            <w:pPr>
              <w:rPr>
                <w:noProof/>
                <w:sz w:val="22"/>
                <w:szCs w:val="22"/>
              </w:rPr>
            </w:pPr>
            <w:r w:rsidRPr="00D929C5">
              <w:rPr>
                <w:sz w:val="22"/>
                <w:szCs w:val="22"/>
              </w:rPr>
              <w:t xml:space="preserve">Poruchy </w:t>
            </w:r>
            <w:proofErr w:type="spellStart"/>
            <w:r w:rsidRPr="00D929C5">
              <w:rPr>
                <w:sz w:val="22"/>
                <w:szCs w:val="22"/>
              </w:rPr>
              <w:t>gastrointestinálneho</w:t>
            </w:r>
            <w:proofErr w:type="spellEnd"/>
            <w:r w:rsidRPr="00D929C5">
              <w:rPr>
                <w:sz w:val="22"/>
                <w:szCs w:val="22"/>
              </w:rPr>
              <w:t xml:space="preserve"> traktu</w:t>
            </w:r>
          </w:p>
        </w:tc>
        <w:tc>
          <w:tcPr>
            <w:tcW w:w="1701" w:type="dxa"/>
          </w:tcPr>
          <w:p w14:paraId="1C6A7DA7" w14:textId="77777777" w:rsidR="001F6E1B" w:rsidRPr="00D929C5" w:rsidRDefault="001F6E1B" w:rsidP="00DA0338">
            <w:pPr>
              <w:rPr>
                <w:sz w:val="22"/>
                <w:szCs w:val="22"/>
              </w:rPr>
            </w:pPr>
            <w:r w:rsidRPr="00D929C5">
              <w:rPr>
                <w:sz w:val="22"/>
                <w:szCs w:val="22"/>
              </w:rPr>
              <w:t>Veľmi časté</w:t>
            </w:r>
          </w:p>
        </w:tc>
        <w:tc>
          <w:tcPr>
            <w:tcW w:w="4536" w:type="dxa"/>
          </w:tcPr>
          <w:p w14:paraId="3C6342EA" w14:textId="77777777" w:rsidR="001F6E1B" w:rsidRPr="00D929C5" w:rsidRDefault="001F6E1B" w:rsidP="00DA0338">
            <w:pPr>
              <w:rPr>
                <w:sz w:val="22"/>
                <w:szCs w:val="22"/>
              </w:rPr>
            </w:pPr>
            <w:r w:rsidRPr="00D929C5">
              <w:rPr>
                <w:sz w:val="22"/>
                <w:szCs w:val="22"/>
              </w:rPr>
              <w:t>Nauzea</w:t>
            </w:r>
          </w:p>
        </w:tc>
      </w:tr>
      <w:tr w:rsidR="001F6E1B" w:rsidRPr="00D929C5" w14:paraId="36A6C859" w14:textId="77777777" w:rsidTr="0080685B">
        <w:trPr>
          <w:cantSplit/>
          <w:trHeight w:val="555"/>
        </w:trPr>
        <w:tc>
          <w:tcPr>
            <w:tcW w:w="3510" w:type="dxa"/>
            <w:vMerge/>
          </w:tcPr>
          <w:p w14:paraId="06D7D792" w14:textId="77777777" w:rsidR="001F6E1B" w:rsidRPr="00D929C5" w:rsidRDefault="001F6E1B" w:rsidP="00DA0338">
            <w:pPr>
              <w:rPr>
                <w:noProof/>
                <w:sz w:val="22"/>
                <w:szCs w:val="22"/>
              </w:rPr>
            </w:pPr>
          </w:p>
        </w:tc>
        <w:tc>
          <w:tcPr>
            <w:tcW w:w="1701" w:type="dxa"/>
          </w:tcPr>
          <w:p w14:paraId="2175A94C" w14:textId="77777777" w:rsidR="001F6E1B" w:rsidRPr="00D929C5" w:rsidRDefault="001F6E1B" w:rsidP="00DA0338">
            <w:pPr>
              <w:rPr>
                <w:noProof/>
                <w:sz w:val="22"/>
                <w:szCs w:val="22"/>
              </w:rPr>
            </w:pPr>
            <w:r w:rsidRPr="00D929C5">
              <w:rPr>
                <w:sz w:val="22"/>
                <w:szCs w:val="22"/>
              </w:rPr>
              <w:t>Časté</w:t>
            </w:r>
          </w:p>
        </w:tc>
        <w:tc>
          <w:tcPr>
            <w:tcW w:w="4536" w:type="dxa"/>
          </w:tcPr>
          <w:p w14:paraId="39EC975C" w14:textId="77777777" w:rsidR="001F6E1B" w:rsidRPr="00D929C5" w:rsidRDefault="001F6E1B" w:rsidP="00DA0338">
            <w:pPr>
              <w:tabs>
                <w:tab w:val="left" w:pos="0"/>
              </w:tabs>
              <w:rPr>
                <w:sz w:val="22"/>
                <w:szCs w:val="22"/>
              </w:rPr>
            </w:pPr>
            <w:r w:rsidRPr="00D929C5">
              <w:rPr>
                <w:sz w:val="22"/>
                <w:szCs w:val="22"/>
              </w:rPr>
              <w:t>Hnačka</w:t>
            </w:r>
          </w:p>
          <w:p w14:paraId="44777A97" w14:textId="77777777" w:rsidR="001F6E1B" w:rsidRPr="00D929C5" w:rsidRDefault="001F6E1B" w:rsidP="00DA0338">
            <w:pPr>
              <w:rPr>
                <w:sz w:val="22"/>
                <w:szCs w:val="22"/>
              </w:rPr>
            </w:pPr>
            <w:r w:rsidRPr="00D929C5">
              <w:rPr>
                <w:sz w:val="22"/>
                <w:szCs w:val="22"/>
              </w:rPr>
              <w:t>Vracanie</w:t>
            </w:r>
          </w:p>
        </w:tc>
      </w:tr>
      <w:tr w:rsidR="001F6E1B" w:rsidRPr="00D929C5" w14:paraId="79AC3E9D" w14:textId="77777777" w:rsidTr="0080685B">
        <w:trPr>
          <w:cantSplit/>
        </w:trPr>
        <w:tc>
          <w:tcPr>
            <w:tcW w:w="3510" w:type="dxa"/>
            <w:vMerge w:val="restart"/>
          </w:tcPr>
          <w:p w14:paraId="3760E1D6" w14:textId="77777777" w:rsidR="001F6E1B" w:rsidRPr="00D929C5" w:rsidRDefault="001F6E1B" w:rsidP="00DA0338">
            <w:pPr>
              <w:rPr>
                <w:noProof/>
                <w:sz w:val="22"/>
                <w:szCs w:val="22"/>
              </w:rPr>
            </w:pPr>
            <w:r w:rsidRPr="00D929C5">
              <w:rPr>
                <w:sz w:val="22"/>
                <w:szCs w:val="22"/>
              </w:rPr>
              <w:t>Poruchy pečene a žlčových ciest</w:t>
            </w:r>
          </w:p>
        </w:tc>
        <w:tc>
          <w:tcPr>
            <w:tcW w:w="1701" w:type="dxa"/>
          </w:tcPr>
          <w:p w14:paraId="1AC4B0FA" w14:textId="77777777" w:rsidR="001F6E1B" w:rsidRPr="00D929C5" w:rsidRDefault="001F6E1B" w:rsidP="00DA0338">
            <w:pPr>
              <w:rPr>
                <w:noProof/>
                <w:sz w:val="22"/>
                <w:szCs w:val="22"/>
              </w:rPr>
            </w:pPr>
            <w:r w:rsidRPr="00D929C5">
              <w:rPr>
                <w:sz w:val="22"/>
                <w:szCs w:val="22"/>
              </w:rPr>
              <w:t>Časté</w:t>
            </w:r>
          </w:p>
        </w:tc>
        <w:tc>
          <w:tcPr>
            <w:tcW w:w="4536" w:type="dxa"/>
          </w:tcPr>
          <w:p w14:paraId="06C61F52" w14:textId="77777777" w:rsidR="001F6E1B" w:rsidRPr="00D929C5" w:rsidRDefault="001F6E1B" w:rsidP="00DA0338">
            <w:pPr>
              <w:rPr>
                <w:sz w:val="22"/>
                <w:szCs w:val="22"/>
              </w:rPr>
            </w:pPr>
            <w:r w:rsidRPr="00D929C5">
              <w:rPr>
                <w:sz w:val="22"/>
                <w:szCs w:val="22"/>
              </w:rPr>
              <w:t xml:space="preserve">Zvýšenie hladín alkalickej </w:t>
            </w:r>
            <w:proofErr w:type="spellStart"/>
            <w:r w:rsidRPr="00D929C5">
              <w:rPr>
                <w:sz w:val="22"/>
                <w:szCs w:val="22"/>
              </w:rPr>
              <w:t>fosfatázy</w:t>
            </w:r>
            <w:proofErr w:type="spellEnd"/>
            <w:r w:rsidRPr="00D929C5">
              <w:rPr>
                <w:sz w:val="22"/>
                <w:szCs w:val="22"/>
              </w:rPr>
              <w:t xml:space="preserve">, </w:t>
            </w:r>
            <w:proofErr w:type="spellStart"/>
            <w:r w:rsidRPr="00D929C5">
              <w:rPr>
                <w:sz w:val="22"/>
                <w:szCs w:val="22"/>
              </w:rPr>
              <w:t>alanínaminotransferázy</w:t>
            </w:r>
            <w:proofErr w:type="spellEnd"/>
            <w:r w:rsidRPr="00D929C5">
              <w:rPr>
                <w:sz w:val="22"/>
                <w:szCs w:val="22"/>
              </w:rPr>
              <w:t xml:space="preserve"> a </w:t>
            </w:r>
            <w:proofErr w:type="spellStart"/>
            <w:r w:rsidRPr="00D929C5">
              <w:rPr>
                <w:sz w:val="22"/>
                <w:szCs w:val="22"/>
              </w:rPr>
              <w:t>aspartátaminotransferázy</w:t>
            </w:r>
            <w:proofErr w:type="spellEnd"/>
          </w:p>
        </w:tc>
      </w:tr>
      <w:tr w:rsidR="001F6E1B" w:rsidRPr="00D929C5" w14:paraId="3A73A404" w14:textId="77777777" w:rsidTr="0080685B">
        <w:trPr>
          <w:cantSplit/>
        </w:trPr>
        <w:tc>
          <w:tcPr>
            <w:tcW w:w="3510" w:type="dxa"/>
            <w:vMerge/>
          </w:tcPr>
          <w:p w14:paraId="5FEB0538" w14:textId="77777777" w:rsidR="001F6E1B" w:rsidRPr="00D929C5" w:rsidRDefault="001F6E1B" w:rsidP="00DA0338">
            <w:pPr>
              <w:rPr>
                <w:sz w:val="22"/>
                <w:szCs w:val="22"/>
              </w:rPr>
            </w:pPr>
          </w:p>
        </w:tc>
        <w:tc>
          <w:tcPr>
            <w:tcW w:w="1701" w:type="dxa"/>
          </w:tcPr>
          <w:p w14:paraId="56341CAB" w14:textId="77777777" w:rsidR="001F6E1B" w:rsidRPr="00D929C5" w:rsidRDefault="001F6E1B" w:rsidP="00DA0338">
            <w:pPr>
              <w:pStyle w:val="A-TableText"/>
              <w:spacing w:before="0" w:after="0"/>
              <w:rPr>
                <w:szCs w:val="22"/>
                <w:lang w:val="sk-SK"/>
              </w:rPr>
            </w:pPr>
            <w:r w:rsidRPr="00D929C5">
              <w:rPr>
                <w:szCs w:val="22"/>
                <w:lang w:val="sk-SK"/>
              </w:rPr>
              <w:t xml:space="preserve">Menej časté </w:t>
            </w:r>
          </w:p>
        </w:tc>
        <w:tc>
          <w:tcPr>
            <w:tcW w:w="4536" w:type="dxa"/>
          </w:tcPr>
          <w:p w14:paraId="283CB878" w14:textId="77777777" w:rsidR="001F6E1B" w:rsidRPr="00D929C5" w:rsidRDefault="001F6E1B" w:rsidP="00DA0338">
            <w:pPr>
              <w:tabs>
                <w:tab w:val="left" w:pos="0"/>
              </w:tabs>
              <w:rPr>
                <w:sz w:val="22"/>
                <w:szCs w:val="22"/>
              </w:rPr>
            </w:pPr>
            <w:r w:rsidRPr="00D929C5">
              <w:rPr>
                <w:sz w:val="22"/>
                <w:szCs w:val="22"/>
              </w:rPr>
              <w:t xml:space="preserve">Zvýšenie hladín </w:t>
            </w:r>
            <w:proofErr w:type="spellStart"/>
            <w:r w:rsidRPr="00D929C5">
              <w:rPr>
                <w:sz w:val="22"/>
                <w:szCs w:val="22"/>
              </w:rPr>
              <w:t>gamaglutamyltransferázy</w:t>
            </w:r>
            <w:proofErr w:type="spellEnd"/>
            <w:r w:rsidRPr="00D929C5">
              <w:rPr>
                <w:sz w:val="22"/>
                <w:szCs w:val="22"/>
              </w:rPr>
              <w:t xml:space="preserve"> a </w:t>
            </w:r>
            <w:proofErr w:type="spellStart"/>
            <w:r w:rsidRPr="00D929C5">
              <w:rPr>
                <w:sz w:val="22"/>
                <w:szCs w:val="22"/>
              </w:rPr>
              <w:t>bilirubínu</w:t>
            </w:r>
            <w:proofErr w:type="spellEnd"/>
          </w:p>
          <w:p w14:paraId="3C7DA019" w14:textId="77777777" w:rsidR="001F6E1B" w:rsidRPr="00D929C5" w:rsidRDefault="001F6E1B" w:rsidP="00DA0338">
            <w:pPr>
              <w:rPr>
                <w:sz w:val="22"/>
                <w:szCs w:val="22"/>
              </w:rPr>
            </w:pPr>
            <w:r w:rsidRPr="00D929C5">
              <w:rPr>
                <w:sz w:val="22"/>
                <w:szCs w:val="22"/>
              </w:rPr>
              <w:t>Hepatitída</w:t>
            </w:r>
          </w:p>
        </w:tc>
      </w:tr>
      <w:tr w:rsidR="001F6E1B" w:rsidRPr="00D929C5" w14:paraId="626A8EEB" w14:textId="77777777" w:rsidTr="0080685B">
        <w:trPr>
          <w:cantSplit/>
        </w:trPr>
        <w:tc>
          <w:tcPr>
            <w:tcW w:w="3510" w:type="dxa"/>
            <w:vMerge w:val="restart"/>
          </w:tcPr>
          <w:p w14:paraId="01680B7E" w14:textId="77777777" w:rsidR="001F6E1B" w:rsidRPr="00D929C5" w:rsidRDefault="001F6E1B" w:rsidP="00DA0338">
            <w:pPr>
              <w:rPr>
                <w:noProof/>
                <w:sz w:val="22"/>
                <w:szCs w:val="22"/>
              </w:rPr>
            </w:pPr>
            <w:r w:rsidRPr="00D929C5">
              <w:rPr>
                <w:sz w:val="22"/>
                <w:szCs w:val="22"/>
              </w:rPr>
              <w:t>Poruchy kože a podkožného tkaniva</w:t>
            </w:r>
          </w:p>
        </w:tc>
        <w:tc>
          <w:tcPr>
            <w:tcW w:w="1701" w:type="dxa"/>
          </w:tcPr>
          <w:p w14:paraId="0F8D92AE" w14:textId="77777777" w:rsidR="001F6E1B" w:rsidRPr="00D929C5" w:rsidRDefault="001F6E1B" w:rsidP="00DA0338">
            <w:pPr>
              <w:pStyle w:val="A-TableText"/>
              <w:spacing w:before="0" w:after="0"/>
              <w:rPr>
                <w:szCs w:val="22"/>
                <w:lang w:val="sk-SK"/>
              </w:rPr>
            </w:pPr>
            <w:r w:rsidRPr="00D929C5">
              <w:rPr>
                <w:szCs w:val="22"/>
                <w:lang w:val="sk-SK"/>
              </w:rPr>
              <w:t>Veľmi časté</w:t>
            </w:r>
          </w:p>
        </w:tc>
        <w:tc>
          <w:tcPr>
            <w:tcW w:w="4536" w:type="dxa"/>
          </w:tcPr>
          <w:p w14:paraId="4540CFA4" w14:textId="77777777" w:rsidR="001F6E1B" w:rsidRPr="00D929C5" w:rsidRDefault="001F6E1B" w:rsidP="00DA0338">
            <w:pPr>
              <w:rPr>
                <w:sz w:val="22"/>
                <w:szCs w:val="22"/>
              </w:rPr>
            </w:pPr>
            <w:r w:rsidRPr="00D929C5">
              <w:rPr>
                <w:sz w:val="22"/>
                <w:szCs w:val="22"/>
              </w:rPr>
              <w:t>Vyrážka</w:t>
            </w:r>
          </w:p>
        </w:tc>
      </w:tr>
      <w:tr w:rsidR="001F6E1B" w:rsidRPr="00D929C5" w14:paraId="6F0499B9" w14:textId="77777777" w:rsidTr="0080685B">
        <w:trPr>
          <w:cantSplit/>
        </w:trPr>
        <w:tc>
          <w:tcPr>
            <w:tcW w:w="3510" w:type="dxa"/>
            <w:vMerge/>
          </w:tcPr>
          <w:p w14:paraId="2CF9C8B4" w14:textId="77777777" w:rsidR="001F6E1B" w:rsidRPr="00D929C5" w:rsidRDefault="001F6E1B" w:rsidP="00DA0338">
            <w:pPr>
              <w:rPr>
                <w:sz w:val="22"/>
                <w:szCs w:val="22"/>
              </w:rPr>
            </w:pPr>
          </w:p>
        </w:tc>
        <w:tc>
          <w:tcPr>
            <w:tcW w:w="1701" w:type="dxa"/>
          </w:tcPr>
          <w:p w14:paraId="05957A7C" w14:textId="77777777" w:rsidR="001F6E1B" w:rsidRPr="00D929C5" w:rsidRDefault="001F6E1B" w:rsidP="00DA0338">
            <w:pPr>
              <w:rPr>
                <w:sz w:val="22"/>
                <w:szCs w:val="22"/>
              </w:rPr>
            </w:pPr>
            <w:r w:rsidRPr="00D929C5">
              <w:rPr>
                <w:sz w:val="22"/>
                <w:szCs w:val="22"/>
              </w:rPr>
              <w:t>Časté</w:t>
            </w:r>
          </w:p>
        </w:tc>
        <w:tc>
          <w:tcPr>
            <w:tcW w:w="4536" w:type="dxa"/>
          </w:tcPr>
          <w:p w14:paraId="52889966" w14:textId="77777777" w:rsidR="001F6E1B" w:rsidRPr="00D929C5" w:rsidRDefault="001F6E1B" w:rsidP="00DA0338">
            <w:pPr>
              <w:tabs>
                <w:tab w:val="left" w:pos="0"/>
              </w:tabs>
              <w:rPr>
                <w:sz w:val="22"/>
                <w:szCs w:val="22"/>
              </w:rPr>
            </w:pPr>
            <w:r w:rsidRPr="00D929C5">
              <w:rPr>
                <w:sz w:val="22"/>
                <w:szCs w:val="22"/>
              </w:rPr>
              <w:t>Vypadávanie vlasov (</w:t>
            </w:r>
            <w:proofErr w:type="spellStart"/>
            <w:r w:rsidRPr="00D929C5">
              <w:rPr>
                <w:sz w:val="22"/>
                <w:szCs w:val="22"/>
              </w:rPr>
              <w:t>alopécia</w:t>
            </w:r>
            <w:proofErr w:type="spellEnd"/>
            <w:r w:rsidRPr="00D929C5">
              <w:rPr>
                <w:sz w:val="22"/>
                <w:szCs w:val="22"/>
              </w:rPr>
              <w:t>)</w:t>
            </w:r>
          </w:p>
          <w:p w14:paraId="5D71BA4A" w14:textId="77777777" w:rsidR="001F6E1B" w:rsidRPr="00D929C5" w:rsidRDefault="001F6E1B" w:rsidP="00DA0338">
            <w:pPr>
              <w:rPr>
                <w:sz w:val="22"/>
                <w:szCs w:val="22"/>
                <w:lang w:val="sv-SE"/>
              </w:rPr>
            </w:pPr>
            <w:r w:rsidRPr="00D929C5">
              <w:rPr>
                <w:sz w:val="22"/>
                <w:szCs w:val="22"/>
                <w:lang w:val="sv-SE"/>
              </w:rPr>
              <w:t xml:space="preserve">Alergické reakcie </w:t>
            </w:r>
          </w:p>
        </w:tc>
      </w:tr>
      <w:tr w:rsidR="001F6E1B" w:rsidRPr="00D929C5" w14:paraId="006426E9" w14:textId="77777777" w:rsidTr="0080685B">
        <w:trPr>
          <w:cantSplit/>
        </w:trPr>
        <w:tc>
          <w:tcPr>
            <w:tcW w:w="3510" w:type="dxa"/>
            <w:vMerge/>
          </w:tcPr>
          <w:p w14:paraId="1E8A3D2E" w14:textId="77777777" w:rsidR="001F6E1B" w:rsidRPr="00D929C5" w:rsidRDefault="001F6E1B" w:rsidP="00DA0338">
            <w:pPr>
              <w:rPr>
                <w:sz w:val="22"/>
                <w:szCs w:val="22"/>
                <w:lang w:val="sv-SE"/>
              </w:rPr>
            </w:pPr>
          </w:p>
        </w:tc>
        <w:tc>
          <w:tcPr>
            <w:tcW w:w="1701" w:type="dxa"/>
          </w:tcPr>
          <w:p w14:paraId="3859C1A3" w14:textId="77777777" w:rsidR="001F6E1B" w:rsidRPr="00D929C5" w:rsidRDefault="001F6E1B" w:rsidP="00DA0338">
            <w:pPr>
              <w:rPr>
                <w:sz w:val="22"/>
                <w:szCs w:val="22"/>
                <w:lang w:val="sv-SE"/>
              </w:rPr>
            </w:pPr>
            <w:r w:rsidRPr="00D929C5">
              <w:rPr>
                <w:sz w:val="22"/>
                <w:szCs w:val="22"/>
              </w:rPr>
              <w:t>Menej časté</w:t>
            </w:r>
          </w:p>
        </w:tc>
        <w:tc>
          <w:tcPr>
            <w:tcW w:w="4536" w:type="dxa"/>
          </w:tcPr>
          <w:p w14:paraId="66665F55" w14:textId="77777777" w:rsidR="001F6E1B" w:rsidRPr="00D929C5" w:rsidRDefault="001F6E1B" w:rsidP="00DA0338">
            <w:pPr>
              <w:rPr>
                <w:sz w:val="22"/>
                <w:szCs w:val="22"/>
                <w:lang w:val="sv-SE"/>
              </w:rPr>
            </w:pPr>
            <w:r w:rsidRPr="00D929C5">
              <w:rPr>
                <w:sz w:val="22"/>
                <w:szCs w:val="22"/>
                <w:lang w:val="sv-SE"/>
              </w:rPr>
              <w:t>Žihľavka</w:t>
            </w:r>
          </w:p>
        </w:tc>
      </w:tr>
      <w:tr w:rsidR="001F6E1B" w:rsidRPr="00D929C5" w14:paraId="1E974D55" w14:textId="77777777" w:rsidTr="0080685B">
        <w:trPr>
          <w:cantSplit/>
        </w:trPr>
        <w:tc>
          <w:tcPr>
            <w:tcW w:w="3510" w:type="dxa"/>
            <w:vMerge/>
          </w:tcPr>
          <w:p w14:paraId="1D3562C2" w14:textId="77777777" w:rsidR="001F6E1B" w:rsidRPr="00D929C5" w:rsidRDefault="001F6E1B" w:rsidP="00DA0338">
            <w:pPr>
              <w:rPr>
                <w:sz w:val="22"/>
                <w:szCs w:val="22"/>
                <w:lang w:val="sv-SE"/>
              </w:rPr>
            </w:pPr>
          </w:p>
        </w:tc>
        <w:tc>
          <w:tcPr>
            <w:tcW w:w="1701" w:type="dxa"/>
          </w:tcPr>
          <w:p w14:paraId="241A631A" w14:textId="77777777" w:rsidR="001F6E1B" w:rsidRPr="00D929C5" w:rsidRDefault="001F6E1B" w:rsidP="00DA0338">
            <w:pPr>
              <w:pStyle w:val="A-TableText"/>
              <w:spacing w:before="0" w:after="0"/>
              <w:rPr>
                <w:szCs w:val="22"/>
                <w:lang w:val="sk-SK"/>
              </w:rPr>
            </w:pPr>
            <w:r w:rsidRPr="00D929C5">
              <w:rPr>
                <w:szCs w:val="22"/>
                <w:lang w:val="sk-SK"/>
              </w:rPr>
              <w:t>Zriedkavé</w:t>
            </w:r>
          </w:p>
        </w:tc>
        <w:tc>
          <w:tcPr>
            <w:tcW w:w="4536" w:type="dxa"/>
          </w:tcPr>
          <w:p w14:paraId="2358AE45" w14:textId="77777777" w:rsidR="001F6E1B" w:rsidRPr="00D929C5" w:rsidRDefault="001F6E1B" w:rsidP="00DA0338">
            <w:pPr>
              <w:rPr>
                <w:sz w:val="22"/>
                <w:szCs w:val="22"/>
                <w:lang w:val="sv-SE"/>
              </w:rPr>
            </w:pPr>
            <w:r w:rsidRPr="00D929C5">
              <w:rPr>
                <w:sz w:val="22"/>
                <w:szCs w:val="22"/>
                <w:lang w:val="sv-SE"/>
              </w:rPr>
              <w:t>Multiformný erytém</w:t>
            </w:r>
          </w:p>
          <w:p w14:paraId="1C224E08" w14:textId="77777777" w:rsidR="001F6E1B" w:rsidRPr="00D929C5" w:rsidRDefault="001F6E1B" w:rsidP="00DA0338">
            <w:pPr>
              <w:rPr>
                <w:sz w:val="22"/>
                <w:szCs w:val="22"/>
                <w:lang w:val="sv-SE"/>
              </w:rPr>
            </w:pPr>
            <w:r w:rsidRPr="00D929C5">
              <w:rPr>
                <w:sz w:val="22"/>
                <w:szCs w:val="22"/>
                <w:lang w:val="sv-SE"/>
              </w:rPr>
              <w:t>Anafylaktoidná reakcia</w:t>
            </w:r>
          </w:p>
          <w:p w14:paraId="6B184EE3" w14:textId="77777777" w:rsidR="001F6E1B" w:rsidRPr="00D929C5" w:rsidRDefault="001F6E1B" w:rsidP="00DA0338">
            <w:pPr>
              <w:rPr>
                <w:sz w:val="22"/>
                <w:szCs w:val="22"/>
                <w:lang w:val="sv-SE"/>
              </w:rPr>
            </w:pPr>
            <w:r w:rsidRPr="00D929C5">
              <w:rPr>
                <w:sz w:val="22"/>
                <w:szCs w:val="22"/>
              </w:rPr>
              <w:t xml:space="preserve">Kožná </w:t>
            </w:r>
            <w:proofErr w:type="spellStart"/>
            <w:r w:rsidRPr="00D929C5">
              <w:rPr>
                <w:sz w:val="22"/>
                <w:szCs w:val="22"/>
              </w:rPr>
              <w:t>vaskulitída</w:t>
            </w:r>
            <w:proofErr w:type="spellEnd"/>
            <w:r w:rsidRPr="00D929C5">
              <w:rPr>
                <w:sz w:val="22"/>
                <w:szCs w:val="22"/>
              </w:rPr>
              <w:t xml:space="preserve"> (vrátane </w:t>
            </w:r>
            <w:proofErr w:type="spellStart"/>
            <w:r w:rsidRPr="00D929C5">
              <w:rPr>
                <w:sz w:val="22"/>
                <w:szCs w:val="22"/>
              </w:rPr>
              <w:t>Henochovej-Schönleinovej</w:t>
            </w:r>
            <w:proofErr w:type="spellEnd"/>
            <w:r w:rsidRPr="00D929C5">
              <w:rPr>
                <w:sz w:val="22"/>
                <w:szCs w:val="22"/>
              </w:rPr>
              <w:t xml:space="preserve"> purpury)</w:t>
            </w:r>
            <w:r w:rsidRPr="00D929C5">
              <w:rPr>
                <w:sz w:val="22"/>
                <w:szCs w:val="22"/>
                <w:lang w:val="sv-SE"/>
              </w:rPr>
              <w:t>**</w:t>
            </w:r>
          </w:p>
        </w:tc>
      </w:tr>
      <w:tr w:rsidR="001F6E1B" w:rsidRPr="00D929C5" w14:paraId="10D0CB57" w14:textId="77777777" w:rsidTr="0080685B">
        <w:trPr>
          <w:cantSplit/>
        </w:trPr>
        <w:tc>
          <w:tcPr>
            <w:tcW w:w="3510" w:type="dxa"/>
            <w:vMerge/>
          </w:tcPr>
          <w:p w14:paraId="2D7E7AE4" w14:textId="77777777" w:rsidR="001F6E1B" w:rsidRPr="00D929C5" w:rsidRDefault="001F6E1B" w:rsidP="00DA0338">
            <w:pPr>
              <w:rPr>
                <w:sz w:val="22"/>
                <w:szCs w:val="22"/>
                <w:lang w:val="sv-SE"/>
              </w:rPr>
            </w:pPr>
          </w:p>
        </w:tc>
        <w:tc>
          <w:tcPr>
            <w:tcW w:w="1701" w:type="dxa"/>
          </w:tcPr>
          <w:p w14:paraId="683D3B77" w14:textId="77777777" w:rsidR="001F6E1B" w:rsidRPr="00D929C5" w:rsidRDefault="001F6E1B" w:rsidP="00DA0338">
            <w:pPr>
              <w:rPr>
                <w:sz w:val="22"/>
                <w:szCs w:val="22"/>
                <w:lang w:val="sv-SE"/>
              </w:rPr>
            </w:pPr>
            <w:r w:rsidRPr="00D929C5">
              <w:rPr>
                <w:sz w:val="22"/>
                <w:szCs w:val="22"/>
                <w:lang w:val="sv-SE"/>
              </w:rPr>
              <w:t>Veľmi zriedkavé</w:t>
            </w:r>
          </w:p>
        </w:tc>
        <w:tc>
          <w:tcPr>
            <w:tcW w:w="4536" w:type="dxa"/>
          </w:tcPr>
          <w:p w14:paraId="101F3EBE" w14:textId="77777777" w:rsidR="001F6E1B" w:rsidRPr="00D929C5" w:rsidRDefault="001F6E1B" w:rsidP="00DA0338">
            <w:pPr>
              <w:tabs>
                <w:tab w:val="left" w:pos="0"/>
              </w:tabs>
              <w:rPr>
                <w:sz w:val="22"/>
                <w:szCs w:val="22"/>
                <w:lang w:val="sv-SE"/>
              </w:rPr>
            </w:pPr>
            <w:r w:rsidRPr="00D929C5">
              <w:rPr>
                <w:sz w:val="22"/>
                <w:szCs w:val="22"/>
                <w:lang w:val="sv-SE"/>
              </w:rPr>
              <w:t>Stevensov-Johnsonov syndróm</w:t>
            </w:r>
          </w:p>
          <w:p w14:paraId="19B6B1D4" w14:textId="77777777" w:rsidR="001F6E1B" w:rsidRPr="00D929C5" w:rsidRDefault="001F6E1B" w:rsidP="00DA0338">
            <w:pPr>
              <w:rPr>
                <w:sz w:val="22"/>
                <w:szCs w:val="22"/>
                <w:lang w:val="sv-SE"/>
              </w:rPr>
            </w:pPr>
            <w:r w:rsidRPr="00D929C5">
              <w:rPr>
                <w:sz w:val="22"/>
                <w:szCs w:val="22"/>
                <w:lang w:val="sv-SE"/>
              </w:rPr>
              <w:t>Angioedém</w:t>
            </w:r>
          </w:p>
        </w:tc>
      </w:tr>
      <w:tr w:rsidR="001F6E1B" w:rsidRPr="00D929C5" w14:paraId="73781D77" w14:textId="77777777" w:rsidTr="0080685B">
        <w:trPr>
          <w:cantSplit/>
        </w:trPr>
        <w:tc>
          <w:tcPr>
            <w:tcW w:w="3510" w:type="dxa"/>
            <w:vMerge w:val="restart"/>
          </w:tcPr>
          <w:p w14:paraId="35157A5C" w14:textId="77777777" w:rsidR="001F6E1B" w:rsidRPr="00D929C5" w:rsidRDefault="001F6E1B" w:rsidP="00DA0338">
            <w:pPr>
              <w:rPr>
                <w:noProof/>
                <w:sz w:val="22"/>
                <w:szCs w:val="22"/>
                <w:lang w:val="sv-SE"/>
              </w:rPr>
            </w:pPr>
            <w:r w:rsidRPr="00D929C5">
              <w:rPr>
                <w:sz w:val="22"/>
                <w:szCs w:val="22"/>
              </w:rPr>
              <w:t xml:space="preserve">Poruchy </w:t>
            </w:r>
            <w:r w:rsidRPr="00D929C5">
              <w:rPr>
                <w:bCs/>
                <w:sz w:val="22"/>
                <w:szCs w:val="22"/>
                <w:lang w:val="pl-PL"/>
              </w:rPr>
              <w:t>kostrovej a svalovej sústavy a spojivového tkaniva</w:t>
            </w:r>
          </w:p>
        </w:tc>
        <w:tc>
          <w:tcPr>
            <w:tcW w:w="1701" w:type="dxa"/>
          </w:tcPr>
          <w:p w14:paraId="1403E647" w14:textId="77777777" w:rsidR="001F6E1B" w:rsidRPr="00D929C5" w:rsidRDefault="001F6E1B" w:rsidP="00DA0338">
            <w:pPr>
              <w:rPr>
                <w:noProof/>
                <w:sz w:val="22"/>
                <w:szCs w:val="22"/>
                <w:lang w:val="sv-SE"/>
              </w:rPr>
            </w:pPr>
            <w:r w:rsidRPr="00D929C5">
              <w:rPr>
                <w:sz w:val="22"/>
                <w:szCs w:val="22"/>
              </w:rPr>
              <w:t>Veľmi časté</w:t>
            </w:r>
          </w:p>
        </w:tc>
        <w:tc>
          <w:tcPr>
            <w:tcW w:w="4536" w:type="dxa"/>
          </w:tcPr>
          <w:p w14:paraId="74A5F6E0" w14:textId="77777777" w:rsidR="001F6E1B" w:rsidRPr="00D929C5" w:rsidRDefault="001F6E1B" w:rsidP="00DA0338">
            <w:pPr>
              <w:pStyle w:val="A-TableText"/>
              <w:spacing w:before="0" w:after="0"/>
              <w:rPr>
                <w:szCs w:val="22"/>
                <w:lang w:val="sv-SE"/>
              </w:rPr>
            </w:pPr>
            <w:r w:rsidRPr="00D929C5">
              <w:rPr>
                <w:szCs w:val="22"/>
                <w:lang w:val="sv-SE"/>
              </w:rPr>
              <w:t>Bolesť/stuhnutosť kĺbov</w:t>
            </w:r>
          </w:p>
          <w:p w14:paraId="1DFCDB59" w14:textId="77777777" w:rsidR="001F6E1B" w:rsidRPr="00D929C5" w:rsidRDefault="001F6E1B" w:rsidP="00DA0338">
            <w:pPr>
              <w:rPr>
                <w:sz w:val="22"/>
                <w:szCs w:val="22"/>
                <w:lang w:val="sv-SE"/>
              </w:rPr>
            </w:pPr>
            <w:r w:rsidRPr="00D929C5">
              <w:rPr>
                <w:sz w:val="22"/>
                <w:szCs w:val="22"/>
                <w:lang w:val="sv-SE"/>
              </w:rPr>
              <w:t>Artritída</w:t>
            </w:r>
          </w:p>
          <w:p w14:paraId="0877B56F" w14:textId="77777777" w:rsidR="001F6E1B" w:rsidRPr="00D929C5" w:rsidRDefault="001F6E1B" w:rsidP="00DA0338">
            <w:pPr>
              <w:rPr>
                <w:sz w:val="22"/>
                <w:szCs w:val="22"/>
                <w:lang w:val="sv-SE"/>
              </w:rPr>
            </w:pPr>
            <w:r w:rsidRPr="00D929C5">
              <w:rPr>
                <w:sz w:val="22"/>
                <w:szCs w:val="22"/>
                <w:lang w:val="sv-SE"/>
              </w:rPr>
              <w:t>Osteoporóza</w:t>
            </w:r>
          </w:p>
        </w:tc>
      </w:tr>
      <w:tr w:rsidR="001F6E1B" w:rsidRPr="00D929C5" w14:paraId="6ADCB0CB" w14:textId="77777777" w:rsidTr="0080685B">
        <w:trPr>
          <w:cantSplit/>
        </w:trPr>
        <w:tc>
          <w:tcPr>
            <w:tcW w:w="3510" w:type="dxa"/>
            <w:vMerge/>
          </w:tcPr>
          <w:p w14:paraId="620F5CA2" w14:textId="77777777" w:rsidR="001F6E1B" w:rsidRPr="00D929C5" w:rsidRDefault="001F6E1B" w:rsidP="00DA0338">
            <w:pPr>
              <w:rPr>
                <w:sz w:val="22"/>
                <w:szCs w:val="22"/>
                <w:lang w:val="sv-SE"/>
              </w:rPr>
            </w:pPr>
          </w:p>
        </w:tc>
        <w:tc>
          <w:tcPr>
            <w:tcW w:w="1701" w:type="dxa"/>
          </w:tcPr>
          <w:p w14:paraId="02619D2E" w14:textId="77777777" w:rsidR="001F6E1B" w:rsidRPr="00D929C5" w:rsidRDefault="001F6E1B" w:rsidP="00DA0338">
            <w:pPr>
              <w:rPr>
                <w:sz w:val="22"/>
                <w:szCs w:val="22"/>
                <w:lang w:val="sv-SE"/>
              </w:rPr>
            </w:pPr>
            <w:r w:rsidRPr="00D929C5">
              <w:rPr>
                <w:sz w:val="22"/>
                <w:szCs w:val="22"/>
              </w:rPr>
              <w:t>Časté</w:t>
            </w:r>
          </w:p>
        </w:tc>
        <w:tc>
          <w:tcPr>
            <w:tcW w:w="4536" w:type="dxa"/>
          </w:tcPr>
          <w:p w14:paraId="75D79785" w14:textId="77777777" w:rsidR="001F6E1B" w:rsidRPr="00D929C5" w:rsidRDefault="001F6E1B" w:rsidP="00DA0338">
            <w:pPr>
              <w:rPr>
                <w:sz w:val="22"/>
                <w:szCs w:val="22"/>
                <w:lang w:val="sv-SE"/>
              </w:rPr>
            </w:pPr>
            <w:r w:rsidRPr="00D929C5">
              <w:rPr>
                <w:sz w:val="22"/>
                <w:szCs w:val="22"/>
              </w:rPr>
              <w:t>Bolesť kostí</w:t>
            </w:r>
          </w:p>
        </w:tc>
      </w:tr>
      <w:tr w:rsidR="001F6E1B" w:rsidRPr="00D929C5" w14:paraId="763E4FA6" w14:textId="77777777" w:rsidTr="0080685B">
        <w:trPr>
          <w:cantSplit/>
        </w:trPr>
        <w:tc>
          <w:tcPr>
            <w:tcW w:w="3510" w:type="dxa"/>
            <w:vMerge/>
          </w:tcPr>
          <w:p w14:paraId="2F7746AC" w14:textId="77777777" w:rsidR="001F6E1B" w:rsidRPr="00D929C5" w:rsidRDefault="001F6E1B" w:rsidP="00DA0338">
            <w:pPr>
              <w:rPr>
                <w:sz w:val="22"/>
                <w:szCs w:val="22"/>
                <w:lang w:val="sv-SE"/>
              </w:rPr>
            </w:pPr>
          </w:p>
        </w:tc>
        <w:tc>
          <w:tcPr>
            <w:tcW w:w="1701" w:type="dxa"/>
          </w:tcPr>
          <w:p w14:paraId="0DDEEFC2" w14:textId="77777777" w:rsidR="001F6E1B" w:rsidRPr="00D929C5" w:rsidRDefault="001F6E1B" w:rsidP="00DA0338">
            <w:pPr>
              <w:rPr>
                <w:sz w:val="22"/>
                <w:szCs w:val="22"/>
                <w:lang w:val="sv-SE"/>
              </w:rPr>
            </w:pPr>
            <w:r w:rsidRPr="00D929C5">
              <w:rPr>
                <w:sz w:val="22"/>
                <w:szCs w:val="22"/>
              </w:rPr>
              <w:t>Menej časté</w:t>
            </w:r>
          </w:p>
        </w:tc>
        <w:tc>
          <w:tcPr>
            <w:tcW w:w="4536" w:type="dxa"/>
          </w:tcPr>
          <w:p w14:paraId="3CA08C97" w14:textId="77777777" w:rsidR="001F6E1B" w:rsidRPr="00D929C5" w:rsidRDefault="001F6E1B" w:rsidP="00DA0338">
            <w:pPr>
              <w:rPr>
                <w:sz w:val="22"/>
                <w:szCs w:val="22"/>
                <w:lang w:val="en-US"/>
              </w:rPr>
            </w:pPr>
            <w:r w:rsidRPr="00D929C5">
              <w:rPr>
                <w:sz w:val="22"/>
                <w:szCs w:val="22"/>
              </w:rPr>
              <w:t>Skákavý prst</w:t>
            </w:r>
          </w:p>
        </w:tc>
      </w:tr>
      <w:tr w:rsidR="001F6E1B" w:rsidRPr="00D929C5" w14:paraId="262C5EAA" w14:textId="77777777" w:rsidTr="0080685B">
        <w:tc>
          <w:tcPr>
            <w:tcW w:w="3510" w:type="dxa"/>
          </w:tcPr>
          <w:p w14:paraId="4F82887E" w14:textId="77777777" w:rsidR="001F6E1B" w:rsidRPr="00D929C5" w:rsidRDefault="001F6E1B" w:rsidP="00DA0338">
            <w:pPr>
              <w:rPr>
                <w:noProof/>
                <w:sz w:val="22"/>
                <w:szCs w:val="22"/>
              </w:rPr>
            </w:pPr>
            <w:r w:rsidRPr="00D929C5">
              <w:rPr>
                <w:sz w:val="22"/>
                <w:szCs w:val="22"/>
              </w:rPr>
              <w:t>Poruchy reprodukčného systému a</w:t>
            </w:r>
            <w:r>
              <w:rPr>
                <w:sz w:val="22"/>
                <w:szCs w:val="22"/>
              </w:rPr>
              <w:t> </w:t>
            </w:r>
            <w:r w:rsidRPr="00D929C5">
              <w:rPr>
                <w:sz w:val="22"/>
                <w:szCs w:val="22"/>
              </w:rPr>
              <w:t>prsníkov</w:t>
            </w:r>
          </w:p>
        </w:tc>
        <w:tc>
          <w:tcPr>
            <w:tcW w:w="1701" w:type="dxa"/>
          </w:tcPr>
          <w:p w14:paraId="5DBB26E8" w14:textId="77777777" w:rsidR="001F6E1B" w:rsidRPr="00D929C5" w:rsidRDefault="001F6E1B" w:rsidP="00DA0338">
            <w:pPr>
              <w:rPr>
                <w:noProof/>
                <w:sz w:val="22"/>
                <w:szCs w:val="22"/>
              </w:rPr>
            </w:pPr>
            <w:r w:rsidRPr="00D929C5">
              <w:rPr>
                <w:sz w:val="22"/>
                <w:szCs w:val="22"/>
              </w:rPr>
              <w:t>Časté</w:t>
            </w:r>
          </w:p>
        </w:tc>
        <w:tc>
          <w:tcPr>
            <w:tcW w:w="4536" w:type="dxa"/>
          </w:tcPr>
          <w:p w14:paraId="6FD08A04" w14:textId="77777777" w:rsidR="001F6E1B" w:rsidRPr="00D929C5" w:rsidRDefault="001F6E1B" w:rsidP="00DA0338">
            <w:pPr>
              <w:tabs>
                <w:tab w:val="left" w:pos="0"/>
              </w:tabs>
              <w:rPr>
                <w:sz w:val="22"/>
                <w:szCs w:val="22"/>
              </w:rPr>
            </w:pPr>
            <w:r w:rsidRPr="00D929C5">
              <w:rPr>
                <w:sz w:val="22"/>
                <w:szCs w:val="22"/>
              </w:rPr>
              <w:t>Suchosť v pošve</w:t>
            </w:r>
          </w:p>
          <w:p w14:paraId="2E4B9F55" w14:textId="77777777" w:rsidR="001F6E1B" w:rsidRPr="00D929C5" w:rsidRDefault="001F6E1B" w:rsidP="00DA0338">
            <w:pPr>
              <w:rPr>
                <w:sz w:val="22"/>
                <w:szCs w:val="22"/>
              </w:rPr>
            </w:pPr>
            <w:r w:rsidRPr="00D929C5">
              <w:rPr>
                <w:sz w:val="22"/>
                <w:szCs w:val="22"/>
              </w:rPr>
              <w:t>Vaginálne krvácanie***</w:t>
            </w:r>
          </w:p>
        </w:tc>
      </w:tr>
      <w:tr w:rsidR="001F6E1B" w:rsidRPr="00D929C5" w14:paraId="2B1A1C46" w14:textId="77777777" w:rsidTr="0080685B">
        <w:trPr>
          <w:cantSplit/>
          <w:trHeight w:val="579"/>
        </w:trPr>
        <w:tc>
          <w:tcPr>
            <w:tcW w:w="3510" w:type="dxa"/>
          </w:tcPr>
          <w:p w14:paraId="0F3870FC" w14:textId="77777777" w:rsidR="001F6E1B" w:rsidRPr="00D929C5" w:rsidRDefault="001F6E1B" w:rsidP="00DA0338">
            <w:pPr>
              <w:rPr>
                <w:noProof/>
                <w:sz w:val="22"/>
                <w:szCs w:val="22"/>
              </w:rPr>
            </w:pPr>
            <w:r w:rsidRPr="00D929C5">
              <w:rPr>
                <w:sz w:val="22"/>
                <w:szCs w:val="22"/>
              </w:rPr>
              <w:t>Celkové poruchy a </w:t>
            </w:r>
            <w:proofErr w:type="spellStart"/>
            <w:r w:rsidRPr="00D929C5">
              <w:rPr>
                <w:sz w:val="22"/>
                <w:szCs w:val="22"/>
              </w:rPr>
              <w:t>a</w:t>
            </w:r>
            <w:proofErr w:type="spellEnd"/>
            <w:r w:rsidRPr="00D929C5">
              <w:rPr>
                <w:sz w:val="22"/>
                <w:szCs w:val="22"/>
              </w:rPr>
              <w:t> reakcie v mieste podania</w:t>
            </w:r>
          </w:p>
        </w:tc>
        <w:tc>
          <w:tcPr>
            <w:tcW w:w="1701" w:type="dxa"/>
          </w:tcPr>
          <w:p w14:paraId="03532321" w14:textId="77777777" w:rsidR="001F6E1B" w:rsidRPr="00D929C5" w:rsidRDefault="001F6E1B" w:rsidP="00DA0338">
            <w:pPr>
              <w:rPr>
                <w:noProof/>
                <w:sz w:val="22"/>
                <w:szCs w:val="22"/>
              </w:rPr>
            </w:pPr>
            <w:r w:rsidRPr="00D929C5">
              <w:rPr>
                <w:sz w:val="22"/>
                <w:szCs w:val="22"/>
              </w:rPr>
              <w:t>Veľmi časté</w:t>
            </w:r>
          </w:p>
        </w:tc>
        <w:tc>
          <w:tcPr>
            <w:tcW w:w="4536" w:type="dxa"/>
          </w:tcPr>
          <w:p w14:paraId="27776994" w14:textId="77777777" w:rsidR="001F6E1B" w:rsidRPr="00D929C5" w:rsidRDefault="001F6E1B" w:rsidP="00DA0338">
            <w:pPr>
              <w:rPr>
                <w:sz w:val="22"/>
                <w:szCs w:val="22"/>
              </w:rPr>
            </w:pPr>
            <w:r w:rsidRPr="00D929C5">
              <w:rPr>
                <w:sz w:val="22"/>
                <w:szCs w:val="22"/>
              </w:rPr>
              <w:t>Asténia</w:t>
            </w:r>
          </w:p>
        </w:tc>
      </w:tr>
    </w:tbl>
    <w:p w14:paraId="23BB7B2E" w14:textId="77777777" w:rsidR="001F6E1B" w:rsidRPr="00D929C5" w:rsidRDefault="001F6E1B" w:rsidP="001F6E1B">
      <w:pPr>
        <w:autoSpaceDE w:val="0"/>
        <w:autoSpaceDN w:val="0"/>
        <w:adjustRightInd w:val="0"/>
        <w:ind w:left="550" w:hanging="550"/>
        <w:rPr>
          <w:sz w:val="22"/>
          <w:szCs w:val="22"/>
        </w:rPr>
      </w:pPr>
      <w:r w:rsidRPr="00D929C5">
        <w:rPr>
          <w:sz w:val="22"/>
          <w:szCs w:val="22"/>
        </w:rPr>
        <w:t>*</w:t>
      </w:r>
      <w:r w:rsidRPr="00D929C5">
        <w:rPr>
          <w:sz w:val="22"/>
          <w:szCs w:val="22"/>
        </w:rPr>
        <w:tab/>
        <w:t xml:space="preserve">Syndróm </w:t>
      </w:r>
      <w:proofErr w:type="spellStart"/>
      <w:r w:rsidRPr="00D929C5">
        <w:rPr>
          <w:sz w:val="22"/>
          <w:szCs w:val="22"/>
        </w:rPr>
        <w:t>karpálneho</w:t>
      </w:r>
      <w:proofErr w:type="spellEnd"/>
      <w:r w:rsidRPr="00D929C5">
        <w:rPr>
          <w:sz w:val="22"/>
          <w:szCs w:val="22"/>
        </w:rPr>
        <w:t xml:space="preserve"> tunela sa v klinických štúdiách zaznamenal častejšie u </w:t>
      </w:r>
      <w:proofErr w:type="spellStart"/>
      <w:r w:rsidRPr="00D929C5">
        <w:rPr>
          <w:sz w:val="22"/>
          <w:szCs w:val="22"/>
        </w:rPr>
        <w:t>pacientok</w:t>
      </w:r>
      <w:proofErr w:type="spellEnd"/>
      <w:r w:rsidRPr="00D929C5">
        <w:rPr>
          <w:sz w:val="22"/>
          <w:szCs w:val="22"/>
        </w:rPr>
        <w:t xml:space="preserve"> liečených </w:t>
      </w:r>
      <w:proofErr w:type="spellStart"/>
      <w:r w:rsidR="0064044D">
        <w:rPr>
          <w:sz w:val="22"/>
          <w:szCs w:val="22"/>
        </w:rPr>
        <w:t>a</w:t>
      </w:r>
      <w:r w:rsidRPr="00D929C5">
        <w:rPr>
          <w:sz w:val="22"/>
          <w:szCs w:val="22"/>
        </w:rPr>
        <w:t>nastrozolom</w:t>
      </w:r>
      <w:proofErr w:type="spellEnd"/>
      <w:r w:rsidRPr="00D929C5">
        <w:rPr>
          <w:sz w:val="22"/>
          <w:szCs w:val="22"/>
        </w:rPr>
        <w:t xml:space="preserve"> v porovnaní s pacientkami liečenými </w:t>
      </w:r>
      <w:proofErr w:type="spellStart"/>
      <w:r w:rsidRPr="00D929C5">
        <w:rPr>
          <w:sz w:val="22"/>
          <w:szCs w:val="22"/>
        </w:rPr>
        <w:t>tamoxif</w:t>
      </w:r>
      <w:r w:rsidR="0064044D">
        <w:rPr>
          <w:sz w:val="22"/>
          <w:szCs w:val="22"/>
        </w:rPr>
        <w:t>é</w:t>
      </w:r>
      <w:r w:rsidRPr="00D929C5">
        <w:rPr>
          <w:sz w:val="22"/>
          <w:szCs w:val="22"/>
        </w:rPr>
        <w:t>nom</w:t>
      </w:r>
      <w:proofErr w:type="spellEnd"/>
      <w:r w:rsidRPr="00D929C5">
        <w:rPr>
          <w:sz w:val="22"/>
          <w:szCs w:val="22"/>
        </w:rPr>
        <w:t xml:space="preserve">. Väčšina z týchto prípadov sa však vyskytla u </w:t>
      </w:r>
      <w:proofErr w:type="spellStart"/>
      <w:r w:rsidRPr="00D929C5">
        <w:rPr>
          <w:sz w:val="22"/>
          <w:szCs w:val="22"/>
        </w:rPr>
        <w:t>pacientok</w:t>
      </w:r>
      <w:proofErr w:type="spellEnd"/>
      <w:r w:rsidRPr="00D929C5">
        <w:rPr>
          <w:sz w:val="22"/>
          <w:szCs w:val="22"/>
        </w:rPr>
        <w:t xml:space="preserve"> s identifikovateľnými rizikovými faktormi pre vývoj tohto stavu.</w:t>
      </w:r>
    </w:p>
    <w:p w14:paraId="6A714DB4" w14:textId="77777777" w:rsidR="001F6E1B" w:rsidRPr="00D929C5" w:rsidRDefault="001F6E1B" w:rsidP="001F6E1B">
      <w:pPr>
        <w:ind w:left="567" w:hanging="567"/>
        <w:rPr>
          <w:sz w:val="22"/>
          <w:szCs w:val="22"/>
        </w:rPr>
      </w:pPr>
      <w:r w:rsidRPr="00D929C5">
        <w:rPr>
          <w:sz w:val="22"/>
          <w:szCs w:val="22"/>
        </w:rPr>
        <w:t>**</w:t>
      </w:r>
      <w:r w:rsidRPr="00D929C5">
        <w:rPr>
          <w:sz w:val="22"/>
          <w:szCs w:val="22"/>
        </w:rPr>
        <w:tab/>
        <w:t xml:space="preserve">Vzhľadom na to, že sa kožná </w:t>
      </w:r>
      <w:proofErr w:type="spellStart"/>
      <w:r w:rsidRPr="00D929C5">
        <w:rPr>
          <w:sz w:val="22"/>
          <w:szCs w:val="22"/>
        </w:rPr>
        <w:t>vaskulitída</w:t>
      </w:r>
      <w:proofErr w:type="spellEnd"/>
      <w:r w:rsidRPr="00D929C5">
        <w:rPr>
          <w:sz w:val="22"/>
          <w:szCs w:val="22"/>
        </w:rPr>
        <w:t xml:space="preserve"> a </w:t>
      </w:r>
      <w:proofErr w:type="spellStart"/>
      <w:r w:rsidRPr="00D929C5">
        <w:rPr>
          <w:sz w:val="22"/>
          <w:szCs w:val="22"/>
        </w:rPr>
        <w:t>Henochova-Schönleinova</w:t>
      </w:r>
      <w:proofErr w:type="spellEnd"/>
      <w:r w:rsidRPr="00D929C5">
        <w:rPr>
          <w:sz w:val="22"/>
          <w:szCs w:val="22"/>
        </w:rPr>
        <w:t xml:space="preserve"> </w:t>
      </w:r>
      <w:proofErr w:type="spellStart"/>
      <w:r w:rsidRPr="00D929C5">
        <w:rPr>
          <w:sz w:val="22"/>
          <w:szCs w:val="22"/>
        </w:rPr>
        <w:t>purpura</w:t>
      </w:r>
      <w:proofErr w:type="spellEnd"/>
      <w:r w:rsidRPr="00D929C5">
        <w:rPr>
          <w:sz w:val="22"/>
          <w:szCs w:val="22"/>
        </w:rPr>
        <w:t xml:space="preserve"> v ATAC nepozorovala, možno ich na základe najhoršieho predpokladaného odhadu zaradiť do kategórie frekvencie „Zriedkavé” (≥ 0,01 % až &lt; 0,1 %).</w:t>
      </w:r>
    </w:p>
    <w:p w14:paraId="17BEE2DC" w14:textId="77777777" w:rsidR="001F6E1B" w:rsidRPr="00D929C5" w:rsidRDefault="001F6E1B" w:rsidP="001F6E1B">
      <w:pPr>
        <w:ind w:left="567" w:hanging="567"/>
        <w:rPr>
          <w:sz w:val="22"/>
          <w:szCs w:val="22"/>
        </w:rPr>
      </w:pPr>
      <w:r w:rsidRPr="00D929C5">
        <w:rPr>
          <w:sz w:val="22"/>
          <w:szCs w:val="22"/>
        </w:rPr>
        <w:t>***</w:t>
      </w:r>
      <w:r w:rsidRPr="00D929C5">
        <w:rPr>
          <w:sz w:val="22"/>
          <w:szCs w:val="22"/>
        </w:rPr>
        <w:tab/>
        <w:t>Vaginálne krvácanie sa zaznamenalo často, hlavne u </w:t>
      </w:r>
      <w:proofErr w:type="spellStart"/>
      <w:r w:rsidRPr="00D929C5">
        <w:rPr>
          <w:sz w:val="22"/>
          <w:szCs w:val="22"/>
        </w:rPr>
        <w:t>pacientok</w:t>
      </w:r>
      <w:proofErr w:type="spellEnd"/>
      <w:r w:rsidRPr="00D929C5">
        <w:rPr>
          <w:sz w:val="22"/>
          <w:szCs w:val="22"/>
        </w:rPr>
        <w:t xml:space="preserve"> s pokročilým karcinómom prsníka počas prvých týždňov po prechode z hormonálnej liečby na liečbu </w:t>
      </w:r>
      <w:proofErr w:type="spellStart"/>
      <w:r w:rsidR="0064044D">
        <w:rPr>
          <w:sz w:val="22"/>
          <w:szCs w:val="22"/>
        </w:rPr>
        <w:t>a</w:t>
      </w:r>
      <w:r w:rsidRPr="00D929C5">
        <w:rPr>
          <w:sz w:val="22"/>
          <w:szCs w:val="22"/>
        </w:rPr>
        <w:t>nastrozolom</w:t>
      </w:r>
      <w:proofErr w:type="spellEnd"/>
      <w:r w:rsidRPr="00D929C5">
        <w:rPr>
          <w:sz w:val="22"/>
          <w:szCs w:val="22"/>
        </w:rPr>
        <w:t>. Ak krvácanie pretrváva, je potrebné zvážiť ďalšie vyšetrenie.</w:t>
      </w:r>
    </w:p>
    <w:p w14:paraId="1111DE0D" w14:textId="77777777" w:rsidR="001F6E1B" w:rsidRPr="00D929C5" w:rsidRDefault="001F6E1B" w:rsidP="001F6E1B">
      <w:pPr>
        <w:ind w:left="550"/>
        <w:rPr>
          <w:sz w:val="22"/>
          <w:szCs w:val="22"/>
        </w:rPr>
      </w:pPr>
    </w:p>
    <w:p w14:paraId="7580612D" w14:textId="77777777" w:rsidR="001F6E1B" w:rsidRPr="00D929C5" w:rsidRDefault="001F6E1B" w:rsidP="001F6E1B">
      <w:pPr>
        <w:rPr>
          <w:sz w:val="22"/>
          <w:szCs w:val="22"/>
        </w:rPr>
      </w:pPr>
      <w:r w:rsidRPr="00D929C5">
        <w:rPr>
          <w:sz w:val="22"/>
          <w:szCs w:val="22"/>
        </w:rPr>
        <w:t xml:space="preserve">Nižšie uvedená tabuľka uvádza frekvenciu vybraných nežiaducich udalostí v štúdii ATAC po sledovaní s mediánom 68 mesiacov, bez ohľadu na kauzalitu, zaznamenaných u </w:t>
      </w:r>
      <w:proofErr w:type="spellStart"/>
      <w:r w:rsidRPr="00D929C5">
        <w:rPr>
          <w:sz w:val="22"/>
          <w:szCs w:val="22"/>
        </w:rPr>
        <w:t>pacientok</w:t>
      </w:r>
      <w:proofErr w:type="spellEnd"/>
      <w:r w:rsidRPr="00D929C5">
        <w:rPr>
          <w:sz w:val="22"/>
          <w:szCs w:val="22"/>
        </w:rPr>
        <w:t xml:space="preserve"> liečených v rámci klinickej štúdie do 14 dní po ukončení liečby.</w:t>
      </w:r>
    </w:p>
    <w:p w14:paraId="591CEDFD" w14:textId="77777777" w:rsidR="00FC67C3" w:rsidRDefault="00FC67C3" w:rsidP="0064044D">
      <w:pPr>
        <w:rPr>
          <w:sz w:val="22"/>
          <w:szCs w:val="22"/>
        </w:rPr>
      </w:pPr>
    </w:p>
    <w:p w14:paraId="45E2D974" w14:textId="77777777" w:rsidR="00FC67C3" w:rsidRDefault="001C396D">
      <w:pPr>
        <w:rPr>
          <w:sz w:val="22"/>
          <w:szCs w:val="22"/>
        </w:rPr>
      </w:pPr>
      <w:r>
        <w:rPr>
          <w:b/>
          <w:bCs/>
          <w:sz w:val="22"/>
          <w:szCs w:val="22"/>
        </w:rPr>
        <w:t>Tabuľka 2</w:t>
      </w:r>
      <w:r w:rsidR="00CF6534">
        <w:rPr>
          <w:b/>
          <w:bCs/>
          <w:sz w:val="22"/>
          <w:szCs w:val="22"/>
        </w:rPr>
        <w:tab/>
        <w:t>Vybrané n</w:t>
      </w:r>
      <w:r>
        <w:rPr>
          <w:b/>
          <w:bCs/>
          <w:sz w:val="22"/>
          <w:szCs w:val="22"/>
        </w:rPr>
        <w:t>ežiaduce udalosti</w:t>
      </w:r>
      <w:r w:rsidR="00CF6534">
        <w:rPr>
          <w:b/>
          <w:bCs/>
          <w:sz w:val="22"/>
          <w:szCs w:val="22"/>
        </w:rPr>
        <w:t xml:space="preserve"> v štúdii ATAC</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1620"/>
        <w:gridCol w:w="1620"/>
      </w:tblGrid>
      <w:tr w:rsidR="00FC67C3" w14:paraId="50F9D08A" w14:textId="77777777">
        <w:tc>
          <w:tcPr>
            <w:tcW w:w="5688" w:type="dxa"/>
            <w:shd w:val="clear" w:color="auto" w:fill="D9D9D9"/>
          </w:tcPr>
          <w:p w14:paraId="2ABD091D" w14:textId="77777777" w:rsidR="00FC67C3" w:rsidRDefault="00FC67C3">
            <w:pPr>
              <w:rPr>
                <w:sz w:val="22"/>
                <w:szCs w:val="22"/>
              </w:rPr>
            </w:pPr>
            <w:r>
              <w:rPr>
                <w:sz w:val="22"/>
                <w:szCs w:val="22"/>
              </w:rPr>
              <w:t>Nežiaduci účinok</w:t>
            </w:r>
          </w:p>
          <w:p w14:paraId="31136C70" w14:textId="77777777" w:rsidR="00FC67C3" w:rsidRDefault="00FC67C3">
            <w:pPr>
              <w:rPr>
                <w:sz w:val="22"/>
                <w:szCs w:val="22"/>
                <w:highlight w:val="lightGray"/>
              </w:rPr>
            </w:pPr>
          </w:p>
        </w:tc>
        <w:tc>
          <w:tcPr>
            <w:tcW w:w="1620" w:type="dxa"/>
            <w:shd w:val="clear" w:color="auto" w:fill="D9D9D9"/>
          </w:tcPr>
          <w:p w14:paraId="5133C26D" w14:textId="77777777" w:rsidR="00FC67C3" w:rsidRDefault="00FC67C3">
            <w:pPr>
              <w:rPr>
                <w:sz w:val="22"/>
                <w:szCs w:val="22"/>
                <w:u w:val="single"/>
              </w:rPr>
            </w:pPr>
            <w:proofErr w:type="spellStart"/>
            <w:r>
              <w:rPr>
                <w:sz w:val="22"/>
                <w:szCs w:val="22"/>
                <w:u w:val="single"/>
              </w:rPr>
              <w:lastRenderedPageBreak/>
              <w:t>anastrozol</w:t>
            </w:r>
            <w:proofErr w:type="spellEnd"/>
          </w:p>
          <w:p w14:paraId="49B6C336" w14:textId="77777777" w:rsidR="00FC67C3" w:rsidRDefault="00FC67C3">
            <w:pPr>
              <w:rPr>
                <w:sz w:val="22"/>
                <w:szCs w:val="22"/>
                <w:highlight w:val="lightGray"/>
                <w:u w:val="single"/>
              </w:rPr>
            </w:pPr>
            <w:r>
              <w:rPr>
                <w:sz w:val="22"/>
                <w:szCs w:val="22"/>
                <w:u w:val="single"/>
              </w:rPr>
              <w:lastRenderedPageBreak/>
              <w:t>(n=3092)</w:t>
            </w:r>
          </w:p>
        </w:tc>
        <w:tc>
          <w:tcPr>
            <w:tcW w:w="1620" w:type="dxa"/>
            <w:shd w:val="clear" w:color="auto" w:fill="D9D9D9"/>
          </w:tcPr>
          <w:p w14:paraId="036BD2E0" w14:textId="77777777" w:rsidR="00FC67C3" w:rsidRDefault="00FC67C3">
            <w:pPr>
              <w:rPr>
                <w:sz w:val="22"/>
                <w:szCs w:val="22"/>
                <w:u w:val="single"/>
              </w:rPr>
            </w:pPr>
            <w:proofErr w:type="spellStart"/>
            <w:r>
              <w:rPr>
                <w:sz w:val="22"/>
                <w:szCs w:val="22"/>
                <w:u w:val="single"/>
              </w:rPr>
              <w:lastRenderedPageBreak/>
              <w:t>tamoxifén</w:t>
            </w:r>
            <w:proofErr w:type="spellEnd"/>
          </w:p>
          <w:p w14:paraId="5A859033" w14:textId="77777777" w:rsidR="00FC67C3" w:rsidRDefault="00FC67C3">
            <w:pPr>
              <w:rPr>
                <w:sz w:val="22"/>
                <w:szCs w:val="22"/>
                <w:highlight w:val="lightGray"/>
                <w:u w:val="single"/>
              </w:rPr>
            </w:pPr>
            <w:r>
              <w:rPr>
                <w:sz w:val="22"/>
                <w:szCs w:val="22"/>
                <w:u w:val="single"/>
              </w:rPr>
              <w:lastRenderedPageBreak/>
              <w:t>(n=3094)</w:t>
            </w:r>
          </w:p>
        </w:tc>
      </w:tr>
      <w:tr w:rsidR="00FC67C3" w14:paraId="49460124" w14:textId="77777777">
        <w:tc>
          <w:tcPr>
            <w:tcW w:w="5688" w:type="dxa"/>
          </w:tcPr>
          <w:p w14:paraId="1AC21A13" w14:textId="77777777" w:rsidR="00FC67C3" w:rsidRDefault="00FC67C3">
            <w:pPr>
              <w:rPr>
                <w:sz w:val="22"/>
                <w:szCs w:val="22"/>
              </w:rPr>
            </w:pPr>
            <w:r>
              <w:rPr>
                <w:sz w:val="22"/>
                <w:szCs w:val="22"/>
              </w:rPr>
              <w:lastRenderedPageBreak/>
              <w:t>Návaly tepla</w:t>
            </w:r>
          </w:p>
        </w:tc>
        <w:tc>
          <w:tcPr>
            <w:tcW w:w="1620" w:type="dxa"/>
          </w:tcPr>
          <w:p w14:paraId="236EF983" w14:textId="77777777" w:rsidR="00FC67C3" w:rsidRDefault="00FC67C3">
            <w:pPr>
              <w:rPr>
                <w:sz w:val="22"/>
                <w:szCs w:val="22"/>
                <w:vertAlign w:val="subscript"/>
              </w:rPr>
            </w:pPr>
            <w:r>
              <w:rPr>
                <w:sz w:val="22"/>
                <w:szCs w:val="22"/>
              </w:rPr>
              <w:t>1104 (35,7</w:t>
            </w:r>
            <w:r w:rsidR="00EE1BB3">
              <w:rPr>
                <w:sz w:val="22"/>
                <w:szCs w:val="22"/>
              </w:rPr>
              <w:t> </w:t>
            </w:r>
            <w:r>
              <w:rPr>
                <w:sz w:val="22"/>
                <w:szCs w:val="22"/>
              </w:rPr>
              <w:t>%)</w:t>
            </w:r>
          </w:p>
        </w:tc>
        <w:tc>
          <w:tcPr>
            <w:tcW w:w="1620" w:type="dxa"/>
          </w:tcPr>
          <w:p w14:paraId="7366C950" w14:textId="77777777" w:rsidR="00FC67C3" w:rsidRDefault="00FC67C3">
            <w:pPr>
              <w:rPr>
                <w:sz w:val="22"/>
                <w:szCs w:val="22"/>
              </w:rPr>
            </w:pPr>
            <w:r>
              <w:rPr>
                <w:sz w:val="22"/>
                <w:szCs w:val="22"/>
              </w:rPr>
              <w:t>1264 (40,9</w:t>
            </w:r>
            <w:r w:rsidR="00EE1BB3">
              <w:rPr>
                <w:sz w:val="22"/>
                <w:szCs w:val="22"/>
              </w:rPr>
              <w:t> </w:t>
            </w:r>
            <w:r>
              <w:rPr>
                <w:sz w:val="22"/>
                <w:szCs w:val="22"/>
              </w:rPr>
              <w:t>%)</w:t>
            </w:r>
          </w:p>
        </w:tc>
      </w:tr>
      <w:tr w:rsidR="00FC67C3" w14:paraId="0478E5AF" w14:textId="77777777">
        <w:tc>
          <w:tcPr>
            <w:tcW w:w="5688" w:type="dxa"/>
          </w:tcPr>
          <w:p w14:paraId="1DA69E51" w14:textId="77777777" w:rsidR="00FC67C3" w:rsidRDefault="00FC67C3">
            <w:pPr>
              <w:rPr>
                <w:sz w:val="22"/>
                <w:szCs w:val="22"/>
              </w:rPr>
            </w:pPr>
            <w:r>
              <w:rPr>
                <w:sz w:val="22"/>
                <w:szCs w:val="22"/>
              </w:rPr>
              <w:t>Bolesť kĺbov/stuhnutosť</w:t>
            </w:r>
          </w:p>
        </w:tc>
        <w:tc>
          <w:tcPr>
            <w:tcW w:w="1620" w:type="dxa"/>
          </w:tcPr>
          <w:p w14:paraId="1C1453E8" w14:textId="77777777" w:rsidR="00FC67C3" w:rsidRDefault="00FC67C3">
            <w:pPr>
              <w:rPr>
                <w:sz w:val="22"/>
                <w:szCs w:val="22"/>
              </w:rPr>
            </w:pPr>
            <w:r>
              <w:rPr>
                <w:sz w:val="22"/>
                <w:szCs w:val="22"/>
              </w:rPr>
              <w:t>1100 (35,6</w:t>
            </w:r>
            <w:r w:rsidR="00EE1BB3">
              <w:rPr>
                <w:sz w:val="22"/>
                <w:szCs w:val="22"/>
              </w:rPr>
              <w:t> </w:t>
            </w:r>
            <w:r>
              <w:rPr>
                <w:sz w:val="22"/>
                <w:szCs w:val="22"/>
              </w:rPr>
              <w:t>%)</w:t>
            </w:r>
          </w:p>
        </w:tc>
        <w:tc>
          <w:tcPr>
            <w:tcW w:w="1620" w:type="dxa"/>
          </w:tcPr>
          <w:p w14:paraId="52E3B3E3" w14:textId="77777777" w:rsidR="00FC67C3" w:rsidRDefault="00FC67C3">
            <w:pPr>
              <w:rPr>
                <w:sz w:val="22"/>
                <w:szCs w:val="22"/>
              </w:rPr>
            </w:pPr>
            <w:r>
              <w:rPr>
                <w:sz w:val="22"/>
                <w:szCs w:val="22"/>
              </w:rPr>
              <w:t>911 (29,4</w:t>
            </w:r>
            <w:r w:rsidR="00EE1BB3">
              <w:rPr>
                <w:sz w:val="22"/>
                <w:szCs w:val="22"/>
              </w:rPr>
              <w:t> </w:t>
            </w:r>
            <w:r>
              <w:rPr>
                <w:sz w:val="22"/>
                <w:szCs w:val="22"/>
              </w:rPr>
              <w:t>%)</w:t>
            </w:r>
          </w:p>
        </w:tc>
      </w:tr>
      <w:tr w:rsidR="00FC67C3" w14:paraId="2D2E1A39" w14:textId="77777777">
        <w:tc>
          <w:tcPr>
            <w:tcW w:w="5688" w:type="dxa"/>
          </w:tcPr>
          <w:p w14:paraId="2D10125D" w14:textId="77777777" w:rsidR="00FC67C3" w:rsidRDefault="00FC67C3">
            <w:pPr>
              <w:rPr>
                <w:sz w:val="22"/>
                <w:szCs w:val="22"/>
              </w:rPr>
            </w:pPr>
            <w:r>
              <w:rPr>
                <w:sz w:val="22"/>
                <w:szCs w:val="22"/>
              </w:rPr>
              <w:t>Zmeny nálad</w:t>
            </w:r>
          </w:p>
        </w:tc>
        <w:tc>
          <w:tcPr>
            <w:tcW w:w="1620" w:type="dxa"/>
          </w:tcPr>
          <w:p w14:paraId="5C9D3E91" w14:textId="77777777" w:rsidR="00FC67C3" w:rsidRDefault="00FC67C3">
            <w:pPr>
              <w:rPr>
                <w:sz w:val="22"/>
                <w:szCs w:val="22"/>
              </w:rPr>
            </w:pPr>
            <w:r>
              <w:rPr>
                <w:sz w:val="22"/>
                <w:szCs w:val="22"/>
              </w:rPr>
              <w:t>597 (19,3</w:t>
            </w:r>
            <w:r w:rsidR="00EE1BB3">
              <w:rPr>
                <w:sz w:val="22"/>
                <w:szCs w:val="22"/>
              </w:rPr>
              <w:t> </w:t>
            </w:r>
            <w:r>
              <w:rPr>
                <w:sz w:val="22"/>
                <w:szCs w:val="22"/>
              </w:rPr>
              <w:t>%)</w:t>
            </w:r>
          </w:p>
        </w:tc>
        <w:tc>
          <w:tcPr>
            <w:tcW w:w="1620" w:type="dxa"/>
          </w:tcPr>
          <w:p w14:paraId="17763724" w14:textId="77777777" w:rsidR="00FC67C3" w:rsidRDefault="00FC67C3">
            <w:pPr>
              <w:rPr>
                <w:sz w:val="22"/>
                <w:szCs w:val="22"/>
              </w:rPr>
            </w:pPr>
            <w:r>
              <w:rPr>
                <w:sz w:val="22"/>
                <w:szCs w:val="22"/>
              </w:rPr>
              <w:t>554 (17,9</w:t>
            </w:r>
            <w:r w:rsidR="00EE1BB3">
              <w:rPr>
                <w:sz w:val="22"/>
                <w:szCs w:val="22"/>
              </w:rPr>
              <w:t> </w:t>
            </w:r>
            <w:r>
              <w:rPr>
                <w:sz w:val="22"/>
                <w:szCs w:val="22"/>
              </w:rPr>
              <w:t>%)</w:t>
            </w:r>
          </w:p>
        </w:tc>
      </w:tr>
      <w:tr w:rsidR="00FC67C3" w14:paraId="637B4777" w14:textId="77777777">
        <w:tc>
          <w:tcPr>
            <w:tcW w:w="5688" w:type="dxa"/>
          </w:tcPr>
          <w:p w14:paraId="5CB0D4BF" w14:textId="77777777" w:rsidR="00FC67C3" w:rsidRDefault="00FC67C3">
            <w:pPr>
              <w:rPr>
                <w:sz w:val="22"/>
                <w:szCs w:val="22"/>
              </w:rPr>
            </w:pPr>
            <w:r>
              <w:rPr>
                <w:sz w:val="22"/>
                <w:szCs w:val="22"/>
              </w:rPr>
              <w:t>Únava/asténia</w:t>
            </w:r>
          </w:p>
        </w:tc>
        <w:tc>
          <w:tcPr>
            <w:tcW w:w="1620" w:type="dxa"/>
          </w:tcPr>
          <w:p w14:paraId="06DE8DA4" w14:textId="77777777" w:rsidR="00FC67C3" w:rsidRDefault="00FC67C3">
            <w:pPr>
              <w:rPr>
                <w:sz w:val="22"/>
                <w:szCs w:val="22"/>
              </w:rPr>
            </w:pPr>
            <w:r>
              <w:rPr>
                <w:sz w:val="22"/>
                <w:szCs w:val="22"/>
              </w:rPr>
              <w:t>575 (18,6</w:t>
            </w:r>
            <w:r w:rsidR="00EE1BB3">
              <w:rPr>
                <w:sz w:val="22"/>
                <w:szCs w:val="22"/>
              </w:rPr>
              <w:t> </w:t>
            </w:r>
            <w:r>
              <w:rPr>
                <w:sz w:val="22"/>
                <w:szCs w:val="22"/>
              </w:rPr>
              <w:t>%)</w:t>
            </w:r>
          </w:p>
        </w:tc>
        <w:tc>
          <w:tcPr>
            <w:tcW w:w="1620" w:type="dxa"/>
          </w:tcPr>
          <w:p w14:paraId="22EC6F6C" w14:textId="77777777" w:rsidR="00FC67C3" w:rsidRDefault="00FC67C3">
            <w:pPr>
              <w:rPr>
                <w:sz w:val="22"/>
                <w:szCs w:val="22"/>
              </w:rPr>
            </w:pPr>
            <w:r>
              <w:rPr>
                <w:sz w:val="22"/>
                <w:szCs w:val="22"/>
              </w:rPr>
              <w:t>544 (17,6</w:t>
            </w:r>
            <w:r w:rsidR="00EE1BB3">
              <w:rPr>
                <w:sz w:val="22"/>
                <w:szCs w:val="22"/>
              </w:rPr>
              <w:t> </w:t>
            </w:r>
            <w:r>
              <w:rPr>
                <w:sz w:val="22"/>
                <w:szCs w:val="22"/>
              </w:rPr>
              <w:t>%)</w:t>
            </w:r>
          </w:p>
        </w:tc>
      </w:tr>
      <w:tr w:rsidR="00FC67C3" w14:paraId="2F2EC4BD" w14:textId="77777777">
        <w:tc>
          <w:tcPr>
            <w:tcW w:w="5688" w:type="dxa"/>
          </w:tcPr>
          <w:p w14:paraId="0B719A24" w14:textId="77777777" w:rsidR="00FC67C3" w:rsidRDefault="00FC67C3">
            <w:pPr>
              <w:rPr>
                <w:sz w:val="22"/>
                <w:szCs w:val="22"/>
              </w:rPr>
            </w:pPr>
            <w:r>
              <w:rPr>
                <w:sz w:val="22"/>
                <w:szCs w:val="22"/>
              </w:rPr>
              <w:t>Nauzea a vracanie</w:t>
            </w:r>
          </w:p>
        </w:tc>
        <w:tc>
          <w:tcPr>
            <w:tcW w:w="1620" w:type="dxa"/>
          </w:tcPr>
          <w:p w14:paraId="20331EDD" w14:textId="77777777" w:rsidR="00FC67C3" w:rsidRDefault="00FC67C3">
            <w:pPr>
              <w:rPr>
                <w:sz w:val="22"/>
                <w:szCs w:val="22"/>
              </w:rPr>
            </w:pPr>
            <w:r>
              <w:rPr>
                <w:sz w:val="22"/>
                <w:szCs w:val="22"/>
              </w:rPr>
              <w:t>393 (12,7</w:t>
            </w:r>
            <w:r w:rsidR="00EE1BB3">
              <w:rPr>
                <w:sz w:val="22"/>
                <w:szCs w:val="22"/>
              </w:rPr>
              <w:t> </w:t>
            </w:r>
            <w:r>
              <w:rPr>
                <w:sz w:val="22"/>
                <w:szCs w:val="22"/>
              </w:rPr>
              <w:t>%)</w:t>
            </w:r>
          </w:p>
        </w:tc>
        <w:tc>
          <w:tcPr>
            <w:tcW w:w="1620" w:type="dxa"/>
          </w:tcPr>
          <w:p w14:paraId="6433B835" w14:textId="77777777" w:rsidR="00FC67C3" w:rsidRDefault="00FC67C3">
            <w:pPr>
              <w:rPr>
                <w:sz w:val="22"/>
                <w:szCs w:val="22"/>
              </w:rPr>
            </w:pPr>
            <w:r>
              <w:rPr>
                <w:sz w:val="22"/>
                <w:szCs w:val="22"/>
              </w:rPr>
              <w:t>384 (12,4</w:t>
            </w:r>
            <w:r w:rsidR="00EE1BB3">
              <w:rPr>
                <w:sz w:val="22"/>
                <w:szCs w:val="22"/>
              </w:rPr>
              <w:t> </w:t>
            </w:r>
            <w:r>
              <w:rPr>
                <w:sz w:val="22"/>
                <w:szCs w:val="22"/>
              </w:rPr>
              <w:t>%)</w:t>
            </w:r>
          </w:p>
        </w:tc>
      </w:tr>
      <w:tr w:rsidR="00FC67C3" w14:paraId="381FD9F9" w14:textId="77777777">
        <w:tc>
          <w:tcPr>
            <w:tcW w:w="5688" w:type="dxa"/>
          </w:tcPr>
          <w:p w14:paraId="303E4753" w14:textId="77777777" w:rsidR="00FC67C3" w:rsidRDefault="00FC67C3">
            <w:pPr>
              <w:rPr>
                <w:sz w:val="22"/>
                <w:szCs w:val="22"/>
              </w:rPr>
            </w:pPr>
            <w:r>
              <w:rPr>
                <w:sz w:val="22"/>
                <w:szCs w:val="22"/>
              </w:rPr>
              <w:t>Zlomeniny</w:t>
            </w:r>
          </w:p>
        </w:tc>
        <w:tc>
          <w:tcPr>
            <w:tcW w:w="1620" w:type="dxa"/>
          </w:tcPr>
          <w:p w14:paraId="60430BA0" w14:textId="77777777" w:rsidR="00FC67C3" w:rsidRDefault="00FC67C3">
            <w:pPr>
              <w:rPr>
                <w:sz w:val="22"/>
                <w:szCs w:val="22"/>
              </w:rPr>
            </w:pPr>
            <w:r>
              <w:rPr>
                <w:sz w:val="22"/>
                <w:szCs w:val="22"/>
              </w:rPr>
              <w:t>315 (10,2</w:t>
            </w:r>
            <w:r w:rsidR="00EE1BB3">
              <w:rPr>
                <w:sz w:val="22"/>
                <w:szCs w:val="22"/>
              </w:rPr>
              <w:t> </w:t>
            </w:r>
            <w:r>
              <w:rPr>
                <w:sz w:val="22"/>
                <w:szCs w:val="22"/>
              </w:rPr>
              <w:t>%)</w:t>
            </w:r>
          </w:p>
        </w:tc>
        <w:tc>
          <w:tcPr>
            <w:tcW w:w="1620" w:type="dxa"/>
          </w:tcPr>
          <w:p w14:paraId="0721D61D" w14:textId="77777777" w:rsidR="00FC67C3" w:rsidRDefault="00FC67C3">
            <w:pPr>
              <w:rPr>
                <w:sz w:val="22"/>
                <w:szCs w:val="22"/>
              </w:rPr>
            </w:pPr>
            <w:r>
              <w:rPr>
                <w:sz w:val="22"/>
                <w:szCs w:val="22"/>
              </w:rPr>
              <w:t>209 (6,8</w:t>
            </w:r>
            <w:r w:rsidR="00EE1BB3">
              <w:rPr>
                <w:sz w:val="22"/>
                <w:szCs w:val="22"/>
              </w:rPr>
              <w:t> </w:t>
            </w:r>
            <w:r>
              <w:rPr>
                <w:sz w:val="22"/>
                <w:szCs w:val="22"/>
              </w:rPr>
              <w:t>%)</w:t>
            </w:r>
          </w:p>
        </w:tc>
      </w:tr>
      <w:tr w:rsidR="00FC67C3" w14:paraId="4A42A1BE" w14:textId="77777777">
        <w:tc>
          <w:tcPr>
            <w:tcW w:w="5688" w:type="dxa"/>
          </w:tcPr>
          <w:p w14:paraId="38F9EB37" w14:textId="77777777" w:rsidR="00FC67C3" w:rsidRDefault="00FC67C3">
            <w:pPr>
              <w:rPr>
                <w:sz w:val="22"/>
                <w:szCs w:val="22"/>
              </w:rPr>
            </w:pPr>
            <w:r>
              <w:rPr>
                <w:sz w:val="22"/>
                <w:szCs w:val="22"/>
              </w:rPr>
              <w:t>Fraktúry chrbtice, bedier alebo zápästia/</w:t>
            </w:r>
            <w:proofErr w:type="spellStart"/>
            <w:r>
              <w:rPr>
                <w:sz w:val="22"/>
                <w:szCs w:val="22"/>
              </w:rPr>
              <w:t>Colles</w:t>
            </w:r>
            <w:proofErr w:type="spellEnd"/>
          </w:p>
        </w:tc>
        <w:tc>
          <w:tcPr>
            <w:tcW w:w="1620" w:type="dxa"/>
          </w:tcPr>
          <w:p w14:paraId="66C17AF0" w14:textId="77777777" w:rsidR="00FC67C3" w:rsidRDefault="00FC67C3">
            <w:pPr>
              <w:rPr>
                <w:sz w:val="22"/>
                <w:szCs w:val="22"/>
              </w:rPr>
            </w:pPr>
            <w:r>
              <w:rPr>
                <w:sz w:val="22"/>
                <w:szCs w:val="22"/>
              </w:rPr>
              <w:t>133 (4,3</w:t>
            </w:r>
            <w:r w:rsidR="00EE1BB3">
              <w:rPr>
                <w:sz w:val="22"/>
                <w:szCs w:val="22"/>
              </w:rPr>
              <w:t> </w:t>
            </w:r>
            <w:r>
              <w:rPr>
                <w:sz w:val="22"/>
                <w:szCs w:val="22"/>
              </w:rPr>
              <w:t>%)</w:t>
            </w:r>
          </w:p>
        </w:tc>
        <w:tc>
          <w:tcPr>
            <w:tcW w:w="1620" w:type="dxa"/>
          </w:tcPr>
          <w:p w14:paraId="279640DA" w14:textId="77777777" w:rsidR="00FC67C3" w:rsidRDefault="00FC67C3">
            <w:pPr>
              <w:rPr>
                <w:sz w:val="22"/>
                <w:szCs w:val="22"/>
              </w:rPr>
            </w:pPr>
            <w:r>
              <w:rPr>
                <w:sz w:val="22"/>
                <w:szCs w:val="22"/>
              </w:rPr>
              <w:t>91 (2,9</w:t>
            </w:r>
            <w:r w:rsidR="00EE1BB3">
              <w:rPr>
                <w:sz w:val="22"/>
                <w:szCs w:val="22"/>
              </w:rPr>
              <w:t> </w:t>
            </w:r>
            <w:r>
              <w:rPr>
                <w:sz w:val="22"/>
                <w:szCs w:val="22"/>
              </w:rPr>
              <w:t>%)</w:t>
            </w:r>
          </w:p>
        </w:tc>
      </w:tr>
      <w:tr w:rsidR="00FC67C3" w14:paraId="69D74AFD" w14:textId="77777777">
        <w:tc>
          <w:tcPr>
            <w:tcW w:w="5688" w:type="dxa"/>
          </w:tcPr>
          <w:p w14:paraId="7943D8DA" w14:textId="77777777" w:rsidR="00FC67C3" w:rsidRDefault="00FC67C3">
            <w:pPr>
              <w:rPr>
                <w:sz w:val="22"/>
                <w:szCs w:val="22"/>
              </w:rPr>
            </w:pPr>
            <w:r>
              <w:rPr>
                <w:sz w:val="22"/>
                <w:szCs w:val="22"/>
              </w:rPr>
              <w:t>Fraktúry zápästia/</w:t>
            </w:r>
            <w:proofErr w:type="spellStart"/>
            <w:r>
              <w:rPr>
                <w:sz w:val="22"/>
                <w:szCs w:val="22"/>
              </w:rPr>
              <w:t>Collesova</w:t>
            </w:r>
            <w:proofErr w:type="spellEnd"/>
            <w:r>
              <w:rPr>
                <w:sz w:val="22"/>
                <w:szCs w:val="22"/>
              </w:rPr>
              <w:t xml:space="preserve"> fraktúra</w:t>
            </w:r>
          </w:p>
        </w:tc>
        <w:tc>
          <w:tcPr>
            <w:tcW w:w="1620" w:type="dxa"/>
          </w:tcPr>
          <w:p w14:paraId="3AE31370" w14:textId="77777777" w:rsidR="00FC67C3" w:rsidRDefault="00FC67C3">
            <w:pPr>
              <w:rPr>
                <w:sz w:val="22"/>
                <w:szCs w:val="22"/>
              </w:rPr>
            </w:pPr>
            <w:r>
              <w:rPr>
                <w:sz w:val="22"/>
                <w:szCs w:val="22"/>
              </w:rPr>
              <w:t>67 (2,2</w:t>
            </w:r>
            <w:r w:rsidR="00EE1BB3">
              <w:rPr>
                <w:sz w:val="22"/>
                <w:szCs w:val="22"/>
              </w:rPr>
              <w:t> </w:t>
            </w:r>
            <w:r>
              <w:rPr>
                <w:sz w:val="22"/>
                <w:szCs w:val="22"/>
              </w:rPr>
              <w:t>%)</w:t>
            </w:r>
          </w:p>
        </w:tc>
        <w:tc>
          <w:tcPr>
            <w:tcW w:w="1620" w:type="dxa"/>
          </w:tcPr>
          <w:p w14:paraId="346D8D6C" w14:textId="77777777" w:rsidR="00FC67C3" w:rsidRDefault="00FC67C3">
            <w:pPr>
              <w:rPr>
                <w:sz w:val="22"/>
                <w:szCs w:val="22"/>
              </w:rPr>
            </w:pPr>
            <w:r>
              <w:rPr>
                <w:sz w:val="22"/>
                <w:szCs w:val="22"/>
              </w:rPr>
              <w:t>50 (1,6</w:t>
            </w:r>
            <w:r w:rsidR="00EE1BB3">
              <w:rPr>
                <w:sz w:val="22"/>
                <w:szCs w:val="22"/>
              </w:rPr>
              <w:t> </w:t>
            </w:r>
            <w:r>
              <w:rPr>
                <w:sz w:val="22"/>
                <w:szCs w:val="22"/>
              </w:rPr>
              <w:t>%)</w:t>
            </w:r>
          </w:p>
        </w:tc>
      </w:tr>
      <w:tr w:rsidR="00FC67C3" w14:paraId="4D4B021F" w14:textId="77777777">
        <w:tc>
          <w:tcPr>
            <w:tcW w:w="5688" w:type="dxa"/>
          </w:tcPr>
          <w:p w14:paraId="0364B530" w14:textId="77777777" w:rsidR="00FC67C3" w:rsidRDefault="00FC67C3">
            <w:pPr>
              <w:rPr>
                <w:sz w:val="22"/>
                <w:szCs w:val="22"/>
              </w:rPr>
            </w:pPr>
            <w:r>
              <w:rPr>
                <w:sz w:val="22"/>
                <w:szCs w:val="22"/>
              </w:rPr>
              <w:t>Fraktúry chrbtice</w:t>
            </w:r>
          </w:p>
        </w:tc>
        <w:tc>
          <w:tcPr>
            <w:tcW w:w="1620" w:type="dxa"/>
          </w:tcPr>
          <w:p w14:paraId="4987ADC8" w14:textId="77777777" w:rsidR="00FC67C3" w:rsidRDefault="00FC67C3">
            <w:pPr>
              <w:rPr>
                <w:sz w:val="22"/>
                <w:szCs w:val="22"/>
              </w:rPr>
            </w:pPr>
            <w:r>
              <w:rPr>
                <w:sz w:val="22"/>
                <w:szCs w:val="22"/>
              </w:rPr>
              <w:t>43 (1,4</w:t>
            </w:r>
            <w:r w:rsidR="00EE1BB3">
              <w:rPr>
                <w:sz w:val="22"/>
                <w:szCs w:val="22"/>
              </w:rPr>
              <w:t> </w:t>
            </w:r>
            <w:r>
              <w:rPr>
                <w:sz w:val="22"/>
                <w:szCs w:val="22"/>
              </w:rPr>
              <w:t>%)</w:t>
            </w:r>
          </w:p>
        </w:tc>
        <w:tc>
          <w:tcPr>
            <w:tcW w:w="1620" w:type="dxa"/>
          </w:tcPr>
          <w:p w14:paraId="7522A619" w14:textId="77777777" w:rsidR="00FC67C3" w:rsidRDefault="00FC67C3">
            <w:pPr>
              <w:rPr>
                <w:sz w:val="22"/>
                <w:szCs w:val="22"/>
              </w:rPr>
            </w:pPr>
            <w:r>
              <w:rPr>
                <w:sz w:val="22"/>
                <w:szCs w:val="22"/>
              </w:rPr>
              <w:t>22 (0,7</w:t>
            </w:r>
            <w:r w:rsidR="00EE1BB3">
              <w:rPr>
                <w:sz w:val="22"/>
                <w:szCs w:val="22"/>
              </w:rPr>
              <w:t> </w:t>
            </w:r>
            <w:r>
              <w:rPr>
                <w:sz w:val="22"/>
                <w:szCs w:val="22"/>
              </w:rPr>
              <w:t>%)</w:t>
            </w:r>
          </w:p>
        </w:tc>
      </w:tr>
      <w:tr w:rsidR="00FC67C3" w14:paraId="3D8DCCB9" w14:textId="77777777">
        <w:tc>
          <w:tcPr>
            <w:tcW w:w="5688" w:type="dxa"/>
          </w:tcPr>
          <w:p w14:paraId="519D2E9C" w14:textId="77777777" w:rsidR="00FC67C3" w:rsidRDefault="00FC67C3">
            <w:pPr>
              <w:rPr>
                <w:sz w:val="22"/>
                <w:szCs w:val="22"/>
              </w:rPr>
            </w:pPr>
            <w:r>
              <w:rPr>
                <w:sz w:val="22"/>
                <w:szCs w:val="22"/>
              </w:rPr>
              <w:t>Fraktúry bedra</w:t>
            </w:r>
          </w:p>
        </w:tc>
        <w:tc>
          <w:tcPr>
            <w:tcW w:w="1620" w:type="dxa"/>
          </w:tcPr>
          <w:p w14:paraId="1611FE3A" w14:textId="77777777" w:rsidR="00FC67C3" w:rsidRDefault="00FC67C3">
            <w:pPr>
              <w:rPr>
                <w:sz w:val="22"/>
                <w:szCs w:val="22"/>
              </w:rPr>
            </w:pPr>
            <w:r>
              <w:rPr>
                <w:sz w:val="22"/>
                <w:szCs w:val="22"/>
              </w:rPr>
              <w:t>28 (0,9</w:t>
            </w:r>
            <w:r w:rsidR="00EE1BB3">
              <w:rPr>
                <w:sz w:val="22"/>
                <w:szCs w:val="22"/>
              </w:rPr>
              <w:t> </w:t>
            </w:r>
            <w:r>
              <w:rPr>
                <w:sz w:val="22"/>
                <w:szCs w:val="22"/>
              </w:rPr>
              <w:t>%)</w:t>
            </w:r>
          </w:p>
        </w:tc>
        <w:tc>
          <w:tcPr>
            <w:tcW w:w="1620" w:type="dxa"/>
          </w:tcPr>
          <w:p w14:paraId="4B52AB98" w14:textId="77777777" w:rsidR="00FC67C3" w:rsidRDefault="00FC67C3">
            <w:pPr>
              <w:rPr>
                <w:sz w:val="22"/>
                <w:szCs w:val="22"/>
              </w:rPr>
            </w:pPr>
            <w:r>
              <w:rPr>
                <w:sz w:val="22"/>
                <w:szCs w:val="22"/>
              </w:rPr>
              <w:t>26 (0,8</w:t>
            </w:r>
            <w:r w:rsidR="00EE1BB3">
              <w:rPr>
                <w:sz w:val="22"/>
                <w:szCs w:val="22"/>
              </w:rPr>
              <w:t> </w:t>
            </w:r>
            <w:r>
              <w:rPr>
                <w:sz w:val="22"/>
                <w:szCs w:val="22"/>
              </w:rPr>
              <w:t>%)</w:t>
            </w:r>
          </w:p>
        </w:tc>
      </w:tr>
      <w:tr w:rsidR="00FC67C3" w14:paraId="3AE2514E" w14:textId="77777777">
        <w:tc>
          <w:tcPr>
            <w:tcW w:w="5688" w:type="dxa"/>
          </w:tcPr>
          <w:p w14:paraId="03F39B45" w14:textId="77777777" w:rsidR="00FC67C3" w:rsidRDefault="00FC67C3">
            <w:pPr>
              <w:rPr>
                <w:sz w:val="22"/>
                <w:szCs w:val="22"/>
              </w:rPr>
            </w:pPr>
            <w:r>
              <w:rPr>
                <w:sz w:val="22"/>
                <w:szCs w:val="22"/>
              </w:rPr>
              <w:t>Katarakty</w:t>
            </w:r>
          </w:p>
        </w:tc>
        <w:tc>
          <w:tcPr>
            <w:tcW w:w="1620" w:type="dxa"/>
          </w:tcPr>
          <w:p w14:paraId="3398532D" w14:textId="77777777" w:rsidR="00FC67C3" w:rsidRDefault="00FC67C3">
            <w:pPr>
              <w:rPr>
                <w:sz w:val="22"/>
                <w:szCs w:val="22"/>
              </w:rPr>
            </w:pPr>
            <w:r>
              <w:rPr>
                <w:sz w:val="22"/>
                <w:szCs w:val="22"/>
              </w:rPr>
              <w:t>182 (5,9</w:t>
            </w:r>
            <w:r w:rsidR="00EE1BB3">
              <w:rPr>
                <w:sz w:val="22"/>
                <w:szCs w:val="22"/>
              </w:rPr>
              <w:t> </w:t>
            </w:r>
            <w:r>
              <w:rPr>
                <w:sz w:val="22"/>
                <w:szCs w:val="22"/>
              </w:rPr>
              <w:t>%)</w:t>
            </w:r>
          </w:p>
        </w:tc>
        <w:tc>
          <w:tcPr>
            <w:tcW w:w="1620" w:type="dxa"/>
          </w:tcPr>
          <w:p w14:paraId="75BBA628" w14:textId="77777777" w:rsidR="00FC67C3" w:rsidRDefault="00FC67C3">
            <w:pPr>
              <w:rPr>
                <w:sz w:val="22"/>
                <w:szCs w:val="22"/>
              </w:rPr>
            </w:pPr>
            <w:r>
              <w:rPr>
                <w:sz w:val="22"/>
                <w:szCs w:val="22"/>
              </w:rPr>
              <w:t>213 (6,9</w:t>
            </w:r>
            <w:r w:rsidR="00EE1BB3">
              <w:rPr>
                <w:sz w:val="22"/>
                <w:szCs w:val="22"/>
              </w:rPr>
              <w:t> %</w:t>
            </w:r>
            <w:r>
              <w:rPr>
                <w:sz w:val="22"/>
                <w:szCs w:val="22"/>
              </w:rPr>
              <w:t>)</w:t>
            </w:r>
          </w:p>
        </w:tc>
      </w:tr>
      <w:tr w:rsidR="00FC67C3" w14:paraId="69C7E9B0" w14:textId="77777777">
        <w:tc>
          <w:tcPr>
            <w:tcW w:w="5688" w:type="dxa"/>
          </w:tcPr>
          <w:p w14:paraId="1755F215" w14:textId="77777777" w:rsidR="00FC67C3" w:rsidRDefault="00FC67C3">
            <w:pPr>
              <w:rPr>
                <w:sz w:val="22"/>
                <w:szCs w:val="22"/>
              </w:rPr>
            </w:pPr>
            <w:r>
              <w:rPr>
                <w:sz w:val="22"/>
                <w:szCs w:val="22"/>
              </w:rPr>
              <w:t>Vaginálne krvácanie</w:t>
            </w:r>
          </w:p>
        </w:tc>
        <w:tc>
          <w:tcPr>
            <w:tcW w:w="1620" w:type="dxa"/>
          </w:tcPr>
          <w:p w14:paraId="5734D3D0" w14:textId="77777777" w:rsidR="00FC67C3" w:rsidRDefault="00FC67C3">
            <w:pPr>
              <w:rPr>
                <w:sz w:val="22"/>
                <w:szCs w:val="22"/>
              </w:rPr>
            </w:pPr>
            <w:r>
              <w:rPr>
                <w:sz w:val="22"/>
                <w:szCs w:val="22"/>
              </w:rPr>
              <w:t>167 (5,4</w:t>
            </w:r>
            <w:r w:rsidR="00EE1BB3">
              <w:rPr>
                <w:sz w:val="22"/>
                <w:szCs w:val="22"/>
              </w:rPr>
              <w:t> </w:t>
            </w:r>
            <w:r>
              <w:rPr>
                <w:sz w:val="22"/>
                <w:szCs w:val="22"/>
              </w:rPr>
              <w:t>%)</w:t>
            </w:r>
          </w:p>
        </w:tc>
        <w:tc>
          <w:tcPr>
            <w:tcW w:w="1620" w:type="dxa"/>
          </w:tcPr>
          <w:p w14:paraId="20AEB7A5" w14:textId="77777777" w:rsidR="00FC67C3" w:rsidRDefault="00FC67C3">
            <w:pPr>
              <w:rPr>
                <w:sz w:val="22"/>
                <w:szCs w:val="22"/>
              </w:rPr>
            </w:pPr>
            <w:r>
              <w:rPr>
                <w:sz w:val="22"/>
                <w:szCs w:val="22"/>
              </w:rPr>
              <w:t>317 (10,2</w:t>
            </w:r>
            <w:r w:rsidR="00EE1BB3">
              <w:rPr>
                <w:sz w:val="22"/>
                <w:szCs w:val="22"/>
              </w:rPr>
              <w:t> </w:t>
            </w:r>
            <w:r>
              <w:rPr>
                <w:sz w:val="22"/>
                <w:szCs w:val="22"/>
              </w:rPr>
              <w:t>%)</w:t>
            </w:r>
          </w:p>
        </w:tc>
      </w:tr>
      <w:tr w:rsidR="00FC67C3" w14:paraId="269A6854" w14:textId="77777777">
        <w:tc>
          <w:tcPr>
            <w:tcW w:w="5688" w:type="dxa"/>
          </w:tcPr>
          <w:p w14:paraId="355D0058" w14:textId="77777777" w:rsidR="00FC67C3" w:rsidRDefault="00FC67C3">
            <w:pPr>
              <w:rPr>
                <w:sz w:val="22"/>
                <w:szCs w:val="22"/>
              </w:rPr>
            </w:pPr>
            <w:r>
              <w:rPr>
                <w:sz w:val="22"/>
                <w:szCs w:val="22"/>
              </w:rPr>
              <w:t>Ischemické kardiovaskulárne ochorenie</w:t>
            </w:r>
          </w:p>
        </w:tc>
        <w:tc>
          <w:tcPr>
            <w:tcW w:w="1620" w:type="dxa"/>
          </w:tcPr>
          <w:p w14:paraId="4BE31007" w14:textId="77777777" w:rsidR="00FC67C3" w:rsidRDefault="00FC67C3">
            <w:pPr>
              <w:rPr>
                <w:sz w:val="22"/>
                <w:szCs w:val="22"/>
              </w:rPr>
            </w:pPr>
            <w:r>
              <w:rPr>
                <w:sz w:val="22"/>
                <w:szCs w:val="22"/>
              </w:rPr>
              <w:t>127 (4,1</w:t>
            </w:r>
            <w:r w:rsidR="00EE1BB3">
              <w:rPr>
                <w:sz w:val="22"/>
                <w:szCs w:val="22"/>
              </w:rPr>
              <w:t> </w:t>
            </w:r>
            <w:r>
              <w:rPr>
                <w:sz w:val="22"/>
                <w:szCs w:val="22"/>
              </w:rPr>
              <w:t>%)</w:t>
            </w:r>
          </w:p>
        </w:tc>
        <w:tc>
          <w:tcPr>
            <w:tcW w:w="1620" w:type="dxa"/>
          </w:tcPr>
          <w:p w14:paraId="60EAB123" w14:textId="77777777" w:rsidR="00FC67C3" w:rsidRDefault="00FC67C3">
            <w:pPr>
              <w:rPr>
                <w:sz w:val="22"/>
                <w:szCs w:val="22"/>
              </w:rPr>
            </w:pPr>
            <w:r>
              <w:rPr>
                <w:sz w:val="22"/>
                <w:szCs w:val="22"/>
              </w:rPr>
              <w:t>104 (3,4</w:t>
            </w:r>
            <w:r w:rsidR="00EE1BB3">
              <w:rPr>
                <w:sz w:val="22"/>
                <w:szCs w:val="22"/>
              </w:rPr>
              <w:t> </w:t>
            </w:r>
            <w:r>
              <w:rPr>
                <w:sz w:val="22"/>
                <w:szCs w:val="22"/>
              </w:rPr>
              <w:t>%)</w:t>
            </w:r>
          </w:p>
        </w:tc>
      </w:tr>
      <w:tr w:rsidR="00FC67C3" w14:paraId="013C7A49" w14:textId="77777777">
        <w:tc>
          <w:tcPr>
            <w:tcW w:w="5688" w:type="dxa"/>
          </w:tcPr>
          <w:p w14:paraId="0CA1257A" w14:textId="77777777" w:rsidR="00FC67C3" w:rsidRDefault="00FC67C3">
            <w:pPr>
              <w:rPr>
                <w:sz w:val="22"/>
                <w:szCs w:val="22"/>
              </w:rPr>
            </w:pPr>
            <w:proofErr w:type="spellStart"/>
            <w:r>
              <w:rPr>
                <w:sz w:val="22"/>
                <w:szCs w:val="22"/>
              </w:rPr>
              <w:t>Angina</w:t>
            </w:r>
            <w:proofErr w:type="spellEnd"/>
            <w:r>
              <w:rPr>
                <w:sz w:val="22"/>
                <w:szCs w:val="22"/>
              </w:rPr>
              <w:t xml:space="preserve"> </w:t>
            </w:r>
            <w:proofErr w:type="spellStart"/>
            <w:r>
              <w:rPr>
                <w:sz w:val="22"/>
                <w:szCs w:val="22"/>
              </w:rPr>
              <w:t>pectoris</w:t>
            </w:r>
            <w:proofErr w:type="spellEnd"/>
          </w:p>
        </w:tc>
        <w:tc>
          <w:tcPr>
            <w:tcW w:w="1620" w:type="dxa"/>
          </w:tcPr>
          <w:p w14:paraId="1D276D53" w14:textId="77777777" w:rsidR="00FC67C3" w:rsidRDefault="00FC67C3">
            <w:pPr>
              <w:rPr>
                <w:sz w:val="22"/>
                <w:szCs w:val="22"/>
              </w:rPr>
            </w:pPr>
            <w:r>
              <w:rPr>
                <w:sz w:val="22"/>
                <w:szCs w:val="22"/>
              </w:rPr>
              <w:t>71 (2,3</w:t>
            </w:r>
            <w:r w:rsidR="00EE1BB3">
              <w:rPr>
                <w:sz w:val="22"/>
                <w:szCs w:val="22"/>
              </w:rPr>
              <w:t> </w:t>
            </w:r>
            <w:r>
              <w:rPr>
                <w:sz w:val="22"/>
                <w:szCs w:val="22"/>
              </w:rPr>
              <w:t>%)</w:t>
            </w:r>
          </w:p>
        </w:tc>
        <w:tc>
          <w:tcPr>
            <w:tcW w:w="1620" w:type="dxa"/>
          </w:tcPr>
          <w:p w14:paraId="0C99BEE1" w14:textId="77777777" w:rsidR="00FC67C3" w:rsidRDefault="00FC67C3">
            <w:pPr>
              <w:rPr>
                <w:sz w:val="22"/>
                <w:szCs w:val="22"/>
              </w:rPr>
            </w:pPr>
            <w:r>
              <w:rPr>
                <w:sz w:val="22"/>
                <w:szCs w:val="22"/>
              </w:rPr>
              <w:t>51 (1,6</w:t>
            </w:r>
            <w:r w:rsidR="00EE1BB3">
              <w:rPr>
                <w:sz w:val="22"/>
                <w:szCs w:val="22"/>
              </w:rPr>
              <w:t> </w:t>
            </w:r>
            <w:r>
              <w:rPr>
                <w:sz w:val="22"/>
                <w:szCs w:val="22"/>
              </w:rPr>
              <w:t>%)</w:t>
            </w:r>
          </w:p>
        </w:tc>
      </w:tr>
      <w:tr w:rsidR="00FC67C3" w14:paraId="0258E567" w14:textId="77777777">
        <w:tc>
          <w:tcPr>
            <w:tcW w:w="5688" w:type="dxa"/>
          </w:tcPr>
          <w:p w14:paraId="082BED02" w14:textId="77777777" w:rsidR="00FC67C3" w:rsidRDefault="00FC67C3">
            <w:pPr>
              <w:rPr>
                <w:sz w:val="22"/>
                <w:szCs w:val="22"/>
              </w:rPr>
            </w:pPr>
            <w:r>
              <w:rPr>
                <w:sz w:val="22"/>
                <w:szCs w:val="22"/>
              </w:rPr>
              <w:t>Infarkt myokardu</w:t>
            </w:r>
          </w:p>
        </w:tc>
        <w:tc>
          <w:tcPr>
            <w:tcW w:w="1620" w:type="dxa"/>
          </w:tcPr>
          <w:p w14:paraId="183018D5" w14:textId="77777777" w:rsidR="00FC67C3" w:rsidRDefault="00FC67C3">
            <w:pPr>
              <w:rPr>
                <w:sz w:val="22"/>
                <w:szCs w:val="22"/>
              </w:rPr>
            </w:pPr>
            <w:r>
              <w:rPr>
                <w:sz w:val="22"/>
                <w:szCs w:val="22"/>
              </w:rPr>
              <w:t>37 (1,2</w:t>
            </w:r>
            <w:r w:rsidR="00EE1BB3">
              <w:rPr>
                <w:sz w:val="22"/>
                <w:szCs w:val="22"/>
              </w:rPr>
              <w:t> </w:t>
            </w:r>
            <w:r>
              <w:rPr>
                <w:sz w:val="22"/>
                <w:szCs w:val="22"/>
              </w:rPr>
              <w:t>%)</w:t>
            </w:r>
          </w:p>
        </w:tc>
        <w:tc>
          <w:tcPr>
            <w:tcW w:w="1620" w:type="dxa"/>
          </w:tcPr>
          <w:p w14:paraId="08355DB7" w14:textId="77777777" w:rsidR="00FC67C3" w:rsidRDefault="00FC67C3">
            <w:pPr>
              <w:rPr>
                <w:sz w:val="22"/>
                <w:szCs w:val="22"/>
              </w:rPr>
            </w:pPr>
            <w:r>
              <w:rPr>
                <w:sz w:val="22"/>
                <w:szCs w:val="22"/>
              </w:rPr>
              <w:t>34 (1,1</w:t>
            </w:r>
            <w:r w:rsidR="00EE1BB3">
              <w:rPr>
                <w:sz w:val="22"/>
                <w:szCs w:val="22"/>
              </w:rPr>
              <w:t> </w:t>
            </w:r>
            <w:r>
              <w:rPr>
                <w:sz w:val="22"/>
                <w:szCs w:val="22"/>
              </w:rPr>
              <w:t>%)</w:t>
            </w:r>
          </w:p>
        </w:tc>
      </w:tr>
      <w:tr w:rsidR="00FC67C3" w14:paraId="2A5F9407" w14:textId="77777777">
        <w:tc>
          <w:tcPr>
            <w:tcW w:w="5688" w:type="dxa"/>
          </w:tcPr>
          <w:p w14:paraId="276546D2" w14:textId="77777777" w:rsidR="00FC67C3" w:rsidRDefault="00FC67C3">
            <w:pPr>
              <w:rPr>
                <w:sz w:val="22"/>
                <w:szCs w:val="22"/>
              </w:rPr>
            </w:pPr>
            <w:r>
              <w:rPr>
                <w:sz w:val="22"/>
                <w:szCs w:val="22"/>
              </w:rPr>
              <w:t>Poruchy koronárnych artérií</w:t>
            </w:r>
          </w:p>
        </w:tc>
        <w:tc>
          <w:tcPr>
            <w:tcW w:w="1620" w:type="dxa"/>
          </w:tcPr>
          <w:p w14:paraId="735AB06E" w14:textId="77777777" w:rsidR="00FC67C3" w:rsidRDefault="00FC67C3">
            <w:pPr>
              <w:rPr>
                <w:sz w:val="22"/>
                <w:szCs w:val="22"/>
              </w:rPr>
            </w:pPr>
            <w:r>
              <w:rPr>
                <w:sz w:val="22"/>
                <w:szCs w:val="22"/>
              </w:rPr>
              <w:t>25 (0,8</w:t>
            </w:r>
            <w:r w:rsidR="00EE1BB3">
              <w:rPr>
                <w:sz w:val="22"/>
                <w:szCs w:val="22"/>
              </w:rPr>
              <w:t> </w:t>
            </w:r>
            <w:r>
              <w:rPr>
                <w:sz w:val="22"/>
                <w:szCs w:val="22"/>
              </w:rPr>
              <w:t>%)</w:t>
            </w:r>
          </w:p>
        </w:tc>
        <w:tc>
          <w:tcPr>
            <w:tcW w:w="1620" w:type="dxa"/>
          </w:tcPr>
          <w:p w14:paraId="792F65C1" w14:textId="77777777" w:rsidR="00FC67C3" w:rsidRDefault="00FC67C3">
            <w:pPr>
              <w:rPr>
                <w:sz w:val="22"/>
                <w:szCs w:val="22"/>
              </w:rPr>
            </w:pPr>
            <w:r>
              <w:rPr>
                <w:sz w:val="22"/>
                <w:szCs w:val="22"/>
              </w:rPr>
              <w:t>23 (0,7</w:t>
            </w:r>
            <w:r w:rsidR="00EE1BB3">
              <w:rPr>
                <w:sz w:val="22"/>
                <w:szCs w:val="22"/>
              </w:rPr>
              <w:t> </w:t>
            </w:r>
            <w:r>
              <w:rPr>
                <w:sz w:val="22"/>
                <w:szCs w:val="22"/>
              </w:rPr>
              <w:t>%)</w:t>
            </w:r>
          </w:p>
        </w:tc>
      </w:tr>
      <w:tr w:rsidR="00FC67C3" w14:paraId="68B35346" w14:textId="77777777">
        <w:tc>
          <w:tcPr>
            <w:tcW w:w="5688" w:type="dxa"/>
          </w:tcPr>
          <w:p w14:paraId="2FBE8E36" w14:textId="77777777" w:rsidR="00FC67C3" w:rsidRDefault="00FC67C3">
            <w:pPr>
              <w:rPr>
                <w:sz w:val="22"/>
                <w:szCs w:val="22"/>
              </w:rPr>
            </w:pPr>
            <w:r>
              <w:rPr>
                <w:sz w:val="22"/>
                <w:szCs w:val="22"/>
              </w:rPr>
              <w:t>Ischémia myokardu</w:t>
            </w:r>
          </w:p>
        </w:tc>
        <w:tc>
          <w:tcPr>
            <w:tcW w:w="1620" w:type="dxa"/>
          </w:tcPr>
          <w:p w14:paraId="3C6273E7" w14:textId="77777777" w:rsidR="00FC67C3" w:rsidRDefault="00FC67C3">
            <w:pPr>
              <w:rPr>
                <w:sz w:val="22"/>
                <w:szCs w:val="22"/>
              </w:rPr>
            </w:pPr>
            <w:r>
              <w:rPr>
                <w:sz w:val="22"/>
                <w:szCs w:val="22"/>
              </w:rPr>
              <w:t>22 (0,7</w:t>
            </w:r>
            <w:r w:rsidR="00EE1BB3">
              <w:rPr>
                <w:sz w:val="22"/>
                <w:szCs w:val="22"/>
              </w:rPr>
              <w:t> </w:t>
            </w:r>
            <w:r>
              <w:rPr>
                <w:sz w:val="22"/>
                <w:szCs w:val="22"/>
              </w:rPr>
              <w:t>%)</w:t>
            </w:r>
          </w:p>
        </w:tc>
        <w:tc>
          <w:tcPr>
            <w:tcW w:w="1620" w:type="dxa"/>
          </w:tcPr>
          <w:p w14:paraId="280526EE" w14:textId="77777777" w:rsidR="00FC67C3" w:rsidRDefault="00FC67C3">
            <w:pPr>
              <w:rPr>
                <w:sz w:val="22"/>
                <w:szCs w:val="22"/>
              </w:rPr>
            </w:pPr>
            <w:r>
              <w:rPr>
                <w:sz w:val="22"/>
                <w:szCs w:val="22"/>
              </w:rPr>
              <w:t>14 (0,5</w:t>
            </w:r>
            <w:r w:rsidR="00EE1BB3">
              <w:rPr>
                <w:sz w:val="22"/>
                <w:szCs w:val="22"/>
              </w:rPr>
              <w:t> </w:t>
            </w:r>
            <w:r>
              <w:rPr>
                <w:sz w:val="22"/>
                <w:szCs w:val="22"/>
              </w:rPr>
              <w:t>%)</w:t>
            </w:r>
          </w:p>
        </w:tc>
      </w:tr>
      <w:tr w:rsidR="00FC67C3" w14:paraId="3F226A6F" w14:textId="77777777">
        <w:tc>
          <w:tcPr>
            <w:tcW w:w="5688" w:type="dxa"/>
          </w:tcPr>
          <w:p w14:paraId="428E83F7" w14:textId="77777777" w:rsidR="00FC67C3" w:rsidRDefault="00FC67C3">
            <w:pPr>
              <w:rPr>
                <w:sz w:val="22"/>
                <w:szCs w:val="22"/>
              </w:rPr>
            </w:pPr>
            <w:r>
              <w:rPr>
                <w:sz w:val="22"/>
                <w:szCs w:val="22"/>
              </w:rPr>
              <w:t>Vaginálny výtok</w:t>
            </w:r>
          </w:p>
        </w:tc>
        <w:tc>
          <w:tcPr>
            <w:tcW w:w="1620" w:type="dxa"/>
          </w:tcPr>
          <w:p w14:paraId="706964E8" w14:textId="77777777" w:rsidR="00FC67C3" w:rsidRDefault="00FC67C3">
            <w:pPr>
              <w:rPr>
                <w:sz w:val="22"/>
                <w:szCs w:val="22"/>
              </w:rPr>
            </w:pPr>
            <w:r>
              <w:rPr>
                <w:sz w:val="22"/>
                <w:szCs w:val="22"/>
              </w:rPr>
              <w:t>109 (3,5</w:t>
            </w:r>
            <w:r w:rsidR="00EE1BB3">
              <w:rPr>
                <w:sz w:val="22"/>
                <w:szCs w:val="22"/>
              </w:rPr>
              <w:t> </w:t>
            </w:r>
            <w:r>
              <w:rPr>
                <w:sz w:val="22"/>
                <w:szCs w:val="22"/>
              </w:rPr>
              <w:t>%)</w:t>
            </w:r>
          </w:p>
        </w:tc>
        <w:tc>
          <w:tcPr>
            <w:tcW w:w="1620" w:type="dxa"/>
          </w:tcPr>
          <w:p w14:paraId="165111BE" w14:textId="77777777" w:rsidR="00FC67C3" w:rsidRDefault="00FC67C3">
            <w:pPr>
              <w:rPr>
                <w:sz w:val="22"/>
                <w:szCs w:val="22"/>
              </w:rPr>
            </w:pPr>
            <w:r>
              <w:rPr>
                <w:sz w:val="22"/>
                <w:szCs w:val="22"/>
              </w:rPr>
              <w:t>408 (13,2</w:t>
            </w:r>
            <w:r w:rsidR="00EE1BB3">
              <w:rPr>
                <w:sz w:val="22"/>
                <w:szCs w:val="22"/>
              </w:rPr>
              <w:t> </w:t>
            </w:r>
            <w:r>
              <w:rPr>
                <w:sz w:val="22"/>
                <w:szCs w:val="22"/>
              </w:rPr>
              <w:t>%)</w:t>
            </w:r>
          </w:p>
        </w:tc>
      </w:tr>
      <w:tr w:rsidR="00FC67C3" w14:paraId="47600197" w14:textId="77777777">
        <w:tc>
          <w:tcPr>
            <w:tcW w:w="5688" w:type="dxa"/>
          </w:tcPr>
          <w:p w14:paraId="2659F7F2" w14:textId="77777777" w:rsidR="00FC67C3" w:rsidRDefault="00FC67C3">
            <w:pPr>
              <w:rPr>
                <w:sz w:val="22"/>
                <w:szCs w:val="22"/>
              </w:rPr>
            </w:pPr>
            <w:r>
              <w:rPr>
                <w:sz w:val="22"/>
                <w:szCs w:val="22"/>
              </w:rPr>
              <w:t xml:space="preserve">Akákoľvek </w:t>
            </w:r>
            <w:proofErr w:type="spellStart"/>
            <w:r>
              <w:rPr>
                <w:sz w:val="22"/>
                <w:szCs w:val="22"/>
              </w:rPr>
              <w:t>venózna</w:t>
            </w:r>
            <w:proofErr w:type="spellEnd"/>
            <w:r>
              <w:rPr>
                <w:sz w:val="22"/>
                <w:szCs w:val="22"/>
              </w:rPr>
              <w:t xml:space="preserve"> </w:t>
            </w:r>
            <w:proofErr w:type="spellStart"/>
            <w:r>
              <w:rPr>
                <w:sz w:val="22"/>
                <w:szCs w:val="22"/>
              </w:rPr>
              <w:t>tromboembolická</w:t>
            </w:r>
            <w:proofErr w:type="spellEnd"/>
            <w:r>
              <w:rPr>
                <w:sz w:val="22"/>
                <w:szCs w:val="22"/>
              </w:rPr>
              <w:t xml:space="preserve"> príhoda</w:t>
            </w:r>
          </w:p>
        </w:tc>
        <w:tc>
          <w:tcPr>
            <w:tcW w:w="1620" w:type="dxa"/>
          </w:tcPr>
          <w:p w14:paraId="6489CDA9" w14:textId="77777777" w:rsidR="00FC67C3" w:rsidRDefault="00FC67C3">
            <w:pPr>
              <w:rPr>
                <w:sz w:val="22"/>
                <w:szCs w:val="22"/>
              </w:rPr>
            </w:pPr>
            <w:r>
              <w:rPr>
                <w:sz w:val="22"/>
                <w:szCs w:val="22"/>
              </w:rPr>
              <w:t>87 (2,8</w:t>
            </w:r>
            <w:r w:rsidR="00EE1BB3">
              <w:rPr>
                <w:sz w:val="22"/>
                <w:szCs w:val="22"/>
              </w:rPr>
              <w:t> </w:t>
            </w:r>
            <w:r>
              <w:rPr>
                <w:sz w:val="22"/>
                <w:szCs w:val="22"/>
              </w:rPr>
              <w:t>%)</w:t>
            </w:r>
          </w:p>
        </w:tc>
        <w:tc>
          <w:tcPr>
            <w:tcW w:w="1620" w:type="dxa"/>
          </w:tcPr>
          <w:p w14:paraId="15A3C8EE" w14:textId="77777777" w:rsidR="00FC67C3" w:rsidRDefault="00FC67C3">
            <w:pPr>
              <w:rPr>
                <w:sz w:val="22"/>
                <w:szCs w:val="22"/>
              </w:rPr>
            </w:pPr>
            <w:r>
              <w:rPr>
                <w:sz w:val="22"/>
                <w:szCs w:val="22"/>
              </w:rPr>
              <w:t>140 (4,5</w:t>
            </w:r>
            <w:r w:rsidR="00EE1BB3">
              <w:rPr>
                <w:sz w:val="22"/>
                <w:szCs w:val="22"/>
              </w:rPr>
              <w:t> </w:t>
            </w:r>
            <w:r>
              <w:rPr>
                <w:sz w:val="22"/>
                <w:szCs w:val="22"/>
              </w:rPr>
              <w:t>%)</w:t>
            </w:r>
          </w:p>
        </w:tc>
      </w:tr>
      <w:tr w:rsidR="00FC67C3" w14:paraId="3DABEC3C" w14:textId="77777777">
        <w:tc>
          <w:tcPr>
            <w:tcW w:w="5688" w:type="dxa"/>
          </w:tcPr>
          <w:p w14:paraId="4929E15C" w14:textId="77777777" w:rsidR="00FC67C3" w:rsidRDefault="00FC67C3">
            <w:pPr>
              <w:rPr>
                <w:sz w:val="22"/>
                <w:szCs w:val="22"/>
              </w:rPr>
            </w:pPr>
            <w:r>
              <w:rPr>
                <w:sz w:val="22"/>
                <w:szCs w:val="22"/>
              </w:rPr>
              <w:t xml:space="preserve">Rozsiahle </w:t>
            </w:r>
            <w:proofErr w:type="spellStart"/>
            <w:r>
              <w:rPr>
                <w:sz w:val="22"/>
                <w:szCs w:val="22"/>
              </w:rPr>
              <w:t>venózne</w:t>
            </w:r>
            <w:proofErr w:type="spellEnd"/>
            <w:r>
              <w:rPr>
                <w:sz w:val="22"/>
                <w:szCs w:val="22"/>
              </w:rPr>
              <w:t xml:space="preserve"> </w:t>
            </w:r>
            <w:proofErr w:type="spellStart"/>
            <w:r>
              <w:rPr>
                <w:sz w:val="22"/>
                <w:szCs w:val="22"/>
              </w:rPr>
              <w:t>tromboembolické</w:t>
            </w:r>
            <w:proofErr w:type="spellEnd"/>
            <w:r>
              <w:rPr>
                <w:sz w:val="22"/>
                <w:szCs w:val="22"/>
              </w:rPr>
              <w:t xml:space="preserve"> príhody, vrátane PE</w:t>
            </w:r>
          </w:p>
        </w:tc>
        <w:tc>
          <w:tcPr>
            <w:tcW w:w="1620" w:type="dxa"/>
          </w:tcPr>
          <w:p w14:paraId="66B768A7" w14:textId="77777777" w:rsidR="00FC67C3" w:rsidRDefault="00FC67C3">
            <w:pPr>
              <w:rPr>
                <w:sz w:val="22"/>
                <w:szCs w:val="22"/>
              </w:rPr>
            </w:pPr>
            <w:r>
              <w:rPr>
                <w:sz w:val="22"/>
                <w:szCs w:val="22"/>
              </w:rPr>
              <w:t>48 (1,6</w:t>
            </w:r>
            <w:r w:rsidR="00EE1BB3">
              <w:rPr>
                <w:sz w:val="22"/>
                <w:szCs w:val="22"/>
              </w:rPr>
              <w:t> </w:t>
            </w:r>
            <w:r>
              <w:rPr>
                <w:sz w:val="22"/>
                <w:szCs w:val="22"/>
              </w:rPr>
              <w:t>%)</w:t>
            </w:r>
          </w:p>
        </w:tc>
        <w:tc>
          <w:tcPr>
            <w:tcW w:w="1620" w:type="dxa"/>
          </w:tcPr>
          <w:p w14:paraId="2536AD87" w14:textId="77777777" w:rsidR="00FC67C3" w:rsidRDefault="00FC67C3">
            <w:pPr>
              <w:rPr>
                <w:sz w:val="22"/>
                <w:szCs w:val="22"/>
              </w:rPr>
            </w:pPr>
            <w:r>
              <w:rPr>
                <w:sz w:val="22"/>
                <w:szCs w:val="22"/>
              </w:rPr>
              <w:t>74 (2,4</w:t>
            </w:r>
            <w:r w:rsidR="00EE1BB3">
              <w:rPr>
                <w:sz w:val="22"/>
                <w:szCs w:val="22"/>
              </w:rPr>
              <w:t> </w:t>
            </w:r>
            <w:r>
              <w:rPr>
                <w:sz w:val="22"/>
                <w:szCs w:val="22"/>
              </w:rPr>
              <w:t>%)</w:t>
            </w:r>
          </w:p>
        </w:tc>
      </w:tr>
      <w:tr w:rsidR="00FC67C3" w14:paraId="71D4F016" w14:textId="77777777">
        <w:tc>
          <w:tcPr>
            <w:tcW w:w="5688" w:type="dxa"/>
          </w:tcPr>
          <w:p w14:paraId="07928B9F" w14:textId="77777777" w:rsidR="00FC67C3" w:rsidRDefault="00FC67C3">
            <w:pPr>
              <w:rPr>
                <w:sz w:val="22"/>
                <w:szCs w:val="22"/>
              </w:rPr>
            </w:pPr>
            <w:r>
              <w:rPr>
                <w:sz w:val="22"/>
                <w:szCs w:val="22"/>
              </w:rPr>
              <w:t xml:space="preserve">Ischemické </w:t>
            </w:r>
            <w:proofErr w:type="spellStart"/>
            <w:r>
              <w:rPr>
                <w:sz w:val="22"/>
                <w:szCs w:val="22"/>
              </w:rPr>
              <w:t>cerebrovaskulárne</w:t>
            </w:r>
            <w:proofErr w:type="spellEnd"/>
            <w:r>
              <w:rPr>
                <w:sz w:val="22"/>
                <w:szCs w:val="22"/>
              </w:rPr>
              <w:t xml:space="preserve"> príhody</w:t>
            </w:r>
          </w:p>
        </w:tc>
        <w:tc>
          <w:tcPr>
            <w:tcW w:w="1620" w:type="dxa"/>
          </w:tcPr>
          <w:p w14:paraId="1C0313BA" w14:textId="77777777" w:rsidR="00FC67C3" w:rsidRDefault="00FC67C3">
            <w:pPr>
              <w:rPr>
                <w:sz w:val="22"/>
                <w:szCs w:val="22"/>
              </w:rPr>
            </w:pPr>
            <w:r>
              <w:rPr>
                <w:sz w:val="22"/>
                <w:szCs w:val="22"/>
              </w:rPr>
              <w:t>62 (2,0</w:t>
            </w:r>
            <w:r w:rsidR="00EE1BB3">
              <w:rPr>
                <w:sz w:val="22"/>
                <w:szCs w:val="22"/>
              </w:rPr>
              <w:t> </w:t>
            </w:r>
            <w:r>
              <w:rPr>
                <w:sz w:val="22"/>
                <w:szCs w:val="22"/>
              </w:rPr>
              <w:t>%)</w:t>
            </w:r>
          </w:p>
        </w:tc>
        <w:tc>
          <w:tcPr>
            <w:tcW w:w="1620" w:type="dxa"/>
          </w:tcPr>
          <w:p w14:paraId="3D188C8E" w14:textId="77777777" w:rsidR="00FC67C3" w:rsidRDefault="00FC67C3">
            <w:pPr>
              <w:rPr>
                <w:sz w:val="22"/>
                <w:szCs w:val="22"/>
              </w:rPr>
            </w:pPr>
            <w:r>
              <w:rPr>
                <w:sz w:val="22"/>
                <w:szCs w:val="22"/>
              </w:rPr>
              <w:t>88 (2,8</w:t>
            </w:r>
            <w:r w:rsidR="00EE1BB3">
              <w:rPr>
                <w:sz w:val="22"/>
                <w:szCs w:val="22"/>
              </w:rPr>
              <w:t> </w:t>
            </w:r>
            <w:r>
              <w:rPr>
                <w:sz w:val="22"/>
                <w:szCs w:val="22"/>
              </w:rPr>
              <w:t>%)</w:t>
            </w:r>
          </w:p>
        </w:tc>
      </w:tr>
      <w:tr w:rsidR="00FC67C3" w14:paraId="41785028" w14:textId="77777777">
        <w:tc>
          <w:tcPr>
            <w:tcW w:w="5688" w:type="dxa"/>
          </w:tcPr>
          <w:p w14:paraId="110B674B" w14:textId="77777777" w:rsidR="00FC67C3" w:rsidRDefault="00FC67C3">
            <w:pPr>
              <w:rPr>
                <w:sz w:val="22"/>
                <w:szCs w:val="22"/>
              </w:rPr>
            </w:pPr>
            <w:r>
              <w:rPr>
                <w:sz w:val="22"/>
                <w:szCs w:val="22"/>
              </w:rPr>
              <w:t xml:space="preserve">Rakovina </w:t>
            </w:r>
            <w:proofErr w:type="spellStart"/>
            <w:r>
              <w:rPr>
                <w:sz w:val="22"/>
                <w:szCs w:val="22"/>
              </w:rPr>
              <w:t>endometria</w:t>
            </w:r>
            <w:proofErr w:type="spellEnd"/>
            <w:r>
              <w:rPr>
                <w:sz w:val="22"/>
                <w:szCs w:val="22"/>
              </w:rPr>
              <w:t xml:space="preserve"> </w:t>
            </w:r>
          </w:p>
        </w:tc>
        <w:tc>
          <w:tcPr>
            <w:tcW w:w="1620" w:type="dxa"/>
          </w:tcPr>
          <w:p w14:paraId="7D865FEA" w14:textId="77777777" w:rsidR="00FC67C3" w:rsidRDefault="00FC67C3">
            <w:pPr>
              <w:rPr>
                <w:sz w:val="22"/>
                <w:szCs w:val="22"/>
              </w:rPr>
            </w:pPr>
            <w:r>
              <w:rPr>
                <w:sz w:val="22"/>
                <w:szCs w:val="22"/>
              </w:rPr>
              <w:t>4 (0,2</w:t>
            </w:r>
            <w:r w:rsidR="00EE1BB3">
              <w:rPr>
                <w:sz w:val="22"/>
                <w:szCs w:val="22"/>
              </w:rPr>
              <w:t> </w:t>
            </w:r>
            <w:r>
              <w:rPr>
                <w:sz w:val="22"/>
                <w:szCs w:val="22"/>
              </w:rPr>
              <w:t>%)</w:t>
            </w:r>
          </w:p>
        </w:tc>
        <w:tc>
          <w:tcPr>
            <w:tcW w:w="1620" w:type="dxa"/>
          </w:tcPr>
          <w:p w14:paraId="271A92A3" w14:textId="77777777" w:rsidR="00FC67C3" w:rsidRDefault="00FC67C3">
            <w:pPr>
              <w:rPr>
                <w:sz w:val="22"/>
                <w:szCs w:val="22"/>
              </w:rPr>
            </w:pPr>
            <w:r>
              <w:rPr>
                <w:sz w:val="22"/>
                <w:szCs w:val="22"/>
              </w:rPr>
              <w:t>13 (0,6</w:t>
            </w:r>
            <w:r w:rsidR="00EE1BB3">
              <w:rPr>
                <w:sz w:val="22"/>
                <w:szCs w:val="22"/>
              </w:rPr>
              <w:t> </w:t>
            </w:r>
            <w:r>
              <w:rPr>
                <w:sz w:val="22"/>
                <w:szCs w:val="22"/>
              </w:rPr>
              <w:t>%)</w:t>
            </w:r>
          </w:p>
        </w:tc>
      </w:tr>
    </w:tbl>
    <w:p w14:paraId="3FA7D94F" w14:textId="77777777" w:rsidR="00FC67C3" w:rsidRDefault="00FC67C3">
      <w:pPr>
        <w:rPr>
          <w:sz w:val="22"/>
          <w:szCs w:val="22"/>
        </w:rPr>
      </w:pPr>
    </w:p>
    <w:p w14:paraId="2548902E" w14:textId="77777777" w:rsidR="0064044D" w:rsidRDefault="00FC67C3">
      <w:pPr>
        <w:rPr>
          <w:sz w:val="22"/>
          <w:szCs w:val="22"/>
        </w:rPr>
      </w:pPr>
      <w:r>
        <w:rPr>
          <w:sz w:val="22"/>
          <w:szCs w:val="22"/>
        </w:rPr>
        <w:t>Miera výskytu zlomenín v rozsahu 22 na 1000 pacient-rokov v skupine s </w:t>
      </w:r>
      <w:proofErr w:type="spellStart"/>
      <w:r>
        <w:rPr>
          <w:sz w:val="22"/>
          <w:szCs w:val="22"/>
        </w:rPr>
        <w:t>anastrozolom</w:t>
      </w:r>
      <w:proofErr w:type="spellEnd"/>
      <w:r>
        <w:rPr>
          <w:sz w:val="22"/>
          <w:szCs w:val="22"/>
        </w:rPr>
        <w:t xml:space="preserve"> a 15 na 1000</w:t>
      </w:r>
      <w:r w:rsidR="0059676A">
        <w:rPr>
          <w:sz w:val="22"/>
          <w:szCs w:val="22"/>
        </w:rPr>
        <w:t> </w:t>
      </w:r>
      <w:r>
        <w:rPr>
          <w:sz w:val="22"/>
          <w:szCs w:val="22"/>
        </w:rPr>
        <w:t>pacient-rokov v skupine s </w:t>
      </w:r>
      <w:proofErr w:type="spellStart"/>
      <w:r>
        <w:rPr>
          <w:sz w:val="22"/>
          <w:szCs w:val="22"/>
        </w:rPr>
        <w:t>tamoxifénom</w:t>
      </w:r>
      <w:proofErr w:type="spellEnd"/>
      <w:r>
        <w:rPr>
          <w:sz w:val="22"/>
          <w:szCs w:val="22"/>
        </w:rPr>
        <w:t xml:space="preserve"> bola zaznamenaná v mediáne sledovania 68 mesiacov. Zaznamenaná miera fraktúr pre </w:t>
      </w:r>
      <w:proofErr w:type="spellStart"/>
      <w:r>
        <w:rPr>
          <w:sz w:val="22"/>
          <w:szCs w:val="22"/>
        </w:rPr>
        <w:t>anastrozol</w:t>
      </w:r>
      <w:proofErr w:type="spellEnd"/>
      <w:r>
        <w:rPr>
          <w:sz w:val="22"/>
          <w:szCs w:val="22"/>
        </w:rPr>
        <w:t xml:space="preserve"> je podobná miere, ktorá sa vyskytuje u </w:t>
      </w:r>
      <w:proofErr w:type="spellStart"/>
      <w:r>
        <w:rPr>
          <w:sz w:val="22"/>
          <w:szCs w:val="22"/>
        </w:rPr>
        <w:t>postmenopauzálnej</w:t>
      </w:r>
      <w:proofErr w:type="spellEnd"/>
      <w:r>
        <w:rPr>
          <w:sz w:val="22"/>
          <w:szCs w:val="22"/>
        </w:rPr>
        <w:t xml:space="preserve"> populácie zodpovedajúceho veku. </w:t>
      </w:r>
      <w:r w:rsidR="0064044D">
        <w:rPr>
          <w:sz w:val="22"/>
          <w:szCs w:val="22"/>
        </w:rPr>
        <w:t xml:space="preserve">Výskyt </w:t>
      </w:r>
      <w:proofErr w:type="spellStart"/>
      <w:r w:rsidR="0064044D">
        <w:rPr>
          <w:sz w:val="22"/>
          <w:szCs w:val="22"/>
        </w:rPr>
        <w:t>osteoporózy</w:t>
      </w:r>
      <w:proofErr w:type="spellEnd"/>
      <w:r w:rsidR="0064044D">
        <w:rPr>
          <w:sz w:val="22"/>
          <w:szCs w:val="22"/>
        </w:rPr>
        <w:t xml:space="preserve"> bol 10,5</w:t>
      </w:r>
      <w:r w:rsidR="0059676A">
        <w:rPr>
          <w:sz w:val="22"/>
          <w:szCs w:val="22"/>
        </w:rPr>
        <w:t> </w:t>
      </w:r>
      <w:r w:rsidR="0064044D">
        <w:rPr>
          <w:sz w:val="22"/>
          <w:szCs w:val="22"/>
        </w:rPr>
        <w:t>% u </w:t>
      </w:r>
      <w:proofErr w:type="spellStart"/>
      <w:r w:rsidR="0064044D">
        <w:rPr>
          <w:sz w:val="22"/>
          <w:szCs w:val="22"/>
        </w:rPr>
        <w:t>pacientok</w:t>
      </w:r>
      <w:proofErr w:type="spellEnd"/>
      <w:r w:rsidR="0064044D">
        <w:rPr>
          <w:sz w:val="22"/>
          <w:szCs w:val="22"/>
        </w:rPr>
        <w:t xml:space="preserve"> liečených </w:t>
      </w:r>
      <w:proofErr w:type="spellStart"/>
      <w:r w:rsidR="0064044D">
        <w:rPr>
          <w:sz w:val="22"/>
          <w:szCs w:val="22"/>
        </w:rPr>
        <w:t>anastrozolom</w:t>
      </w:r>
      <w:proofErr w:type="spellEnd"/>
      <w:r w:rsidR="0064044D">
        <w:rPr>
          <w:sz w:val="22"/>
          <w:szCs w:val="22"/>
        </w:rPr>
        <w:t xml:space="preserve"> a 7,3</w:t>
      </w:r>
      <w:r w:rsidR="0059676A">
        <w:rPr>
          <w:sz w:val="22"/>
          <w:szCs w:val="22"/>
        </w:rPr>
        <w:t> </w:t>
      </w:r>
      <w:r w:rsidR="0064044D">
        <w:rPr>
          <w:sz w:val="22"/>
          <w:szCs w:val="22"/>
        </w:rPr>
        <w:t>% u </w:t>
      </w:r>
      <w:proofErr w:type="spellStart"/>
      <w:r w:rsidR="0064044D">
        <w:rPr>
          <w:sz w:val="22"/>
          <w:szCs w:val="22"/>
        </w:rPr>
        <w:t>pacientok</w:t>
      </w:r>
      <w:proofErr w:type="spellEnd"/>
      <w:r w:rsidR="0064044D">
        <w:rPr>
          <w:sz w:val="22"/>
          <w:szCs w:val="22"/>
        </w:rPr>
        <w:t xml:space="preserve"> liečených </w:t>
      </w:r>
      <w:proofErr w:type="spellStart"/>
      <w:r w:rsidR="0064044D">
        <w:rPr>
          <w:sz w:val="22"/>
          <w:szCs w:val="22"/>
        </w:rPr>
        <w:t>tamoxifénom</w:t>
      </w:r>
      <w:proofErr w:type="spellEnd"/>
      <w:r w:rsidR="0064044D">
        <w:rPr>
          <w:sz w:val="22"/>
          <w:szCs w:val="22"/>
        </w:rPr>
        <w:t>.</w:t>
      </w:r>
    </w:p>
    <w:p w14:paraId="6BCFFE70" w14:textId="77777777" w:rsidR="0064044D" w:rsidRDefault="0064044D">
      <w:pPr>
        <w:rPr>
          <w:sz w:val="22"/>
          <w:szCs w:val="22"/>
        </w:rPr>
      </w:pPr>
    </w:p>
    <w:p w14:paraId="256104B4" w14:textId="77777777" w:rsidR="00FC67C3" w:rsidRDefault="00FC67C3">
      <w:pPr>
        <w:rPr>
          <w:sz w:val="22"/>
          <w:szCs w:val="22"/>
        </w:rPr>
      </w:pPr>
      <w:r>
        <w:rPr>
          <w:sz w:val="22"/>
          <w:szCs w:val="22"/>
        </w:rPr>
        <w:t>Nebolo určené, či miery fraktúr a </w:t>
      </w:r>
      <w:proofErr w:type="spellStart"/>
      <w:r>
        <w:rPr>
          <w:sz w:val="22"/>
          <w:szCs w:val="22"/>
        </w:rPr>
        <w:t>osteoporózy</w:t>
      </w:r>
      <w:proofErr w:type="spellEnd"/>
      <w:r>
        <w:rPr>
          <w:sz w:val="22"/>
          <w:szCs w:val="22"/>
        </w:rPr>
        <w:t xml:space="preserve"> zaznamenané v ATAC u pacientov v liečbe </w:t>
      </w:r>
      <w:proofErr w:type="spellStart"/>
      <w:r>
        <w:rPr>
          <w:sz w:val="22"/>
          <w:szCs w:val="22"/>
        </w:rPr>
        <w:t>anastrozolom</w:t>
      </w:r>
      <w:proofErr w:type="spellEnd"/>
      <w:r>
        <w:rPr>
          <w:sz w:val="22"/>
          <w:szCs w:val="22"/>
        </w:rPr>
        <w:t xml:space="preserve"> odrážajú ochranný účinok </w:t>
      </w:r>
      <w:proofErr w:type="spellStart"/>
      <w:r>
        <w:rPr>
          <w:sz w:val="22"/>
          <w:szCs w:val="22"/>
        </w:rPr>
        <w:t>tamoxifénu</w:t>
      </w:r>
      <w:proofErr w:type="spellEnd"/>
      <w:r>
        <w:rPr>
          <w:sz w:val="22"/>
          <w:szCs w:val="22"/>
        </w:rPr>
        <w:t xml:space="preserve">, špecifický účinok </w:t>
      </w:r>
      <w:proofErr w:type="spellStart"/>
      <w:r>
        <w:rPr>
          <w:sz w:val="22"/>
          <w:szCs w:val="22"/>
        </w:rPr>
        <w:t>anastrozolu</w:t>
      </w:r>
      <w:proofErr w:type="spellEnd"/>
      <w:r>
        <w:rPr>
          <w:sz w:val="22"/>
          <w:szCs w:val="22"/>
        </w:rPr>
        <w:t>, alebo oboje.</w:t>
      </w:r>
    </w:p>
    <w:p w14:paraId="15FE242B" w14:textId="77777777" w:rsidR="00FC67C3" w:rsidRDefault="00FC67C3">
      <w:pPr>
        <w:rPr>
          <w:sz w:val="22"/>
          <w:szCs w:val="22"/>
        </w:rPr>
      </w:pPr>
    </w:p>
    <w:p w14:paraId="51BE30A1" w14:textId="77777777" w:rsidR="00811B76" w:rsidRPr="0041408A" w:rsidRDefault="00811B76" w:rsidP="00811B76">
      <w:pPr>
        <w:suppressLineNumbers/>
        <w:autoSpaceDE w:val="0"/>
        <w:autoSpaceDN w:val="0"/>
        <w:adjustRightInd w:val="0"/>
        <w:rPr>
          <w:sz w:val="22"/>
          <w:szCs w:val="22"/>
          <w:u w:val="single"/>
        </w:rPr>
      </w:pPr>
      <w:r w:rsidRPr="0041408A">
        <w:rPr>
          <w:sz w:val="22"/>
          <w:szCs w:val="22"/>
          <w:u w:val="single"/>
        </w:rPr>
        <w:t>Hlásenie podozrení na nežiaduce reakcie</w:t>
      </w:r>
    </w:p>
    <w:p w14:paraId="085C745F" w14:textId="77777777" w:rsidR="00811B76" w:rsidRDefault="00811B76" w:rsidP="007D20FB">
      <w:pPr>
        <w:suppressLineNumbers/>
        <w:autoSpaceDE w:val="0"/>
        <w:autoSpaceDN w:val="0"/>
        <w:adjustRightInd w:val="0"/>
        <w:rPr>
          <w:sz w:val="22"/>
          <w:szCs w:val="22"/>
        </w:rPr>
      </w:pPr>
      <w:r w:rsidRPr="0041408A">
        <w:rPr>
          <w:sz w:val="22"/>
          <w:szCs w:val="22"/>
        </w:rPr>
        <w:t xml:space="preserve">Hlásenie podozrení na nežiaduce reakcie po registrácii lieku je dôležité. Umožňuje priebežné monitorovanie pomeru prínosu a rizika lieku. Od zdravotníckych pracovníkov sa vyžaduje, aby hlásili akékoľvek podozrenia na nežiaduce reakcie </w:t>
      </w:r>
      <w:r>
        <w:rPr>
          <w:sz w:val="22"/>
          <w:szCs w:val="22"/>
        </w:rPr>
        <w:t>na</w:t>
      </w:r>
      <w:r w:rsidRPr="0041408A">
        <w:rPr>
          <w:sz w:val="22"/>
          <w:szCs w:val="22"/>
        </w:rPr>
        <w:t xml:space="preserve"> </w:t>
      </w:r>
      <w:r w:rsidRPr="0041408A">
        <w:rPr>
          <w:sz w:val="22"/>
          <w:szCs w:val="22"/>
          <w:highlight w:val="lightGray"/>
        </w:rPr>
        <w:t xml:space="preserve">národné </w:t>
      </w:r>
      <w:r>
        <w:rPr>
          <w:sz w:val="22"/>
          <w:szCs w:val="22"/>
          <w:highlight w:val="lightGray"/>
        </w:rPr>
        <w:t>centrum</w:t>
      </w:r>
      <w:r w:rsidRPr="0041408A">
        <w:rPr>
          <w:sz w:val="22"/>
          <w:szCs w:val="22"/>
          <w:highlight w:val="lightGray"/>
        </w:rPr>
        <w:t xml:space="preserve"> hlásenia uvedené v </w:t>
      </w:r>
      <w:hyperlink r:id="rId8" w:history="1">
        <w:r w:rsidRPr="0041408A">
          <w:rPr>
            <w:rStyle w:val="Hypertextovprepojenie"/>
            <w:sz w:val="22"/>
            <w:szCs w:val="22"/>
            <w:highlight w:val="lightGray"/>
          </w:rPr>
          <w:t>Prílohe V</w:t>
        </w:r>
      </w:hyperlink>
      <w:r w:rsidRPr="0041408A">
        <w:rPr>
          <w:sz w:val="22"/>
          <w:szCs w:val="22"/>
        </w:rPr>
        <w:t>.</w:t>
      </w:r>
    </w:p>
    <w:p w14:paraId="5DE918DB" w14:textId="77777777" w:rsidR="00811B76" w:rsidRDefault="00811B76">
      <w:pPr>
        <w:rPr>
          <w:sz w:val="22"/>
          <w:szCs w:val="22"/>
        </w:rPr>
      </w:pPr>
    </w:p>
    <w:p w14:paraId="526B7A2D" w14:textId="77777777" w:rsidR="00FC67C3" w:rsidRDefault="00FC67C3">
      <w:pPr>
        <w:rPr>
          <w:b/>
          <w:sz w:val="22"/>
          <w:szCs w:val="22"/>
        </w:rPr>
      </w:pPr>
      <w:r>
        <w:rPr>
          <w:b/>
          <w:sz w:val="22"/>
          <w:szCs w:val="22"/>
        </w:rPr>
        <w:t>4.9</w:t>
      </w:r>
      <w:r>
        <w:rPr>
          <w:b/>
          <w:sz w:val="22"/>
          <w:szCs w:val="22"/>
        </w:rPr>
        <w:tab/>
        <w:t>Predávkovanie</w:t>
      </w:r>
    </w:p>
    <w:p w14:paraId="003AEA6A" w14:textId="77777777" w:rsidR="00FC67C3" w:rsidRDefault="00FC67C3">
      <w:pPr>
        <w:rPr>
          <w:sz w:val="22"/>
          <w:szCs w:val="22"/>
        </w:rPr>
      </w:pPr>
    </w:p>
    <w:p w14:paraId="6F3FA4B8" w14:textId="77777777" w:rsidR="00FC67C3" w:rsidRDefault="00FC67C3">
      <w:pPr>
        <w:rPr>
          <w:sz w:val="22"/>
          <w:szCs w:val="22"/>
        </w:rPr>
      </w:pPr>
      <w:r>
        <w:rPr>
          <w:sz w:val="22"/>
          <w:szCs w:val="22"/>
        </w:rPr>
        <w:t>S náhodným predávkovaním sú iba obmedzené klinické skúsenosti.</w:t>
      </w:r>
    </w:p>
    <w:p w14:paraId="779F1A3B" w14:textId="77777777" w:rsidR="00FC67C3" w:rsidRDefault="00FC67C3">
      <w:pPr>
        <w:rPr>
          <w:sz w:val="22"/>
          <w:szCs w:val="22"/>
        </w:rPr>
      </w:pPr>
      <w:r>
        <w:rPr>
          <w:noProof/>
          <w:sz w:val="22"/>
          <w:szCs w:val="22"/>
        </w:rPr>
        <w:t>V štúdiách</w:t>
      </w:r>
      <w:r>
        <w:rPr>
          <w:sz w:val="22"/>
          <w:szCs w:val="22"/>
        </w:rPr>
        <w:t xml:space="preserve"> na zvieratách preukázal </w:t>
      </w:r>
      <w:proofErr w:type="spellStart"/>
      <w:r>
        <w:rPr>
          <w:sz w:val="22"/>
          <w:szCs w:val="22"/>
        </w:rPr>
        <w:t>anastrozol</w:t>
      </w:r>
      <w:proofErr w:type="spellEnd"/>
      <w:r>
        <w:rPr>
          <w:sz w:val="22"/>
          <w:szCs w:val="22"/>
        </w:rPr>
        <w:t xml:space="preserve"> nízku akútnu toxicitu.</w:t>
      </w:r>
    </w:p>
    <w:p w14:paraId="2DBE4D89" w14:textId="77777777" w:rsidR="0064044D" w:rsidRDefault="0064044D">
      <w:pPr>
        <w:rPr>
          <w:sz w:val="22"/>
          <w:szCs w:val="22"/>
        </w:rPr>
      </w:pPr>
    </w:p>
    <w:p w14:paraId="78B13D3C" w14:textId="77777777" w:rsidR="00FC67C3" w:rsidRDefault="00FC67C3">
      <w:pPr>
        <w:rPr>
          <w:sz w:val="22"/>
          <w:szCs w:val="22"/>
        </w:rPr>
      </w:pPr>
      <w:r>
        <w:rPr>
          <w:sz w:val="22"/>
          <w:szCs w:val="22"/>
        </w:rPr>
        <w:t xml:space="preserve">V klinických štúdiách sa podávali rôzne dávky </w:t>
      </w:r>
      <w:proofErr w:type="spellStart"/>
      <w:r>
        <w:rPr>
          <w:sz w:val="22"/>
          <w:szCs w:val="22"/>
        </w:rPr>
        <w:t>anastrozolu</w:t>
      </w:r>
      <w:proofErr w:type="spellEnd"/>
      <w:r>
        <w:rPr>
          <w:sz w:val="22"/>
          <w:szCs w:val="22"/>
        </w:rPr>
        <w:t>, zdravým mužom – dobrovoľníkom – v jednorazovej dávke až do 60 mg a </w:t>
      </w:r>
      <w:proofErr w:type="spellStart"/>
      <w:r>
        <w:rPr>
          <w:sz w:val="22"/>
          <w:szCs w:val="22"/>
        </w:rPr>
        <w:t>postmenoupauzálnym</w:t>
      </w:r>
      <w:proofErr w:type="spellEnd"/>
      <w:r>
        <w:rPr>
          <w:sz w:val="22"/>
          <w:szCs w:val="22"/>
        </w:rPr>
        <w:t xml:space="preserve"> ženám s pokročilým štádiom rakoviny prsníka až do 10 mg denne; tieto dávky boli dobre tolerované. Jednorazová dávka </w:t>
      </w:r>
      <w:proofErr w:type="spellStart"/>
      <w:r>
        <w:rPr>
          <w:sz w:val="22"/>
          <w:szCs w:val="22"/>
        </w:rPr>
        <w:t>anastrozolu</w:t>
      </w:r>
      <w:proofErr w:type="spellEnd"/>
      <w:r>
        <w:rPr>
          <w:sz w:val="22"/>
          <w:szCs w:val="22"/>
        </w:rPr>
        <w:t>, ktorá by spôsobila život ohrozujúce symptómy nebola stanovená.</w:t>
      </w:r>
    </w:p>
    <w:p w14:paraId="4287170A" w14:textId="77777777" w:rsidR="0064044D" w:rsidRDefault="0064044D">
      <w:pPr>
        <w:rPr>
          <w:sz w:val="22"/>
          <w:szCs w:val="22"/>
        </w:rPr>
      </w:pPr>
    </w:p>
    <w:p w14:paraId="538BB85E" w14:textId="77777777" w:rsidR="00FC67C3" w:rsidRDefault="00FC67C3">
      <w:pPr>
        <w:rPr>
          <w:sz w:val="22"/>
          <w:szCs w:val="22"/>
        </w:rPr>
      </w:pPr>
      <w:r>
        <w:rPr>
          <w:sz w:val="22"/>
          <w:szCs w:val="22"/>
        </w:rPr>
        <w:t xml:space="preserve">Neexistuje žiadne špecifické </w:t>
      </w:r>
      <w:proofErr w:type="spellStart"/>
      <w:r>
        <w:rPr>
          <w:sz w:val="22"/>
          <w:szCs w:val="22"/>
        </w:rPr>
        <w:t>antidotum</w:t>
      </w:r>
      <w:proofErr w:type="spellEnd"/>
      <w:r>
        <w:rPr>
          <w:sz w:val="22"/>
          <w:szCs w:val="22"/>
        </w:rPr>
        <w:t xml:space="preserve"> pri predávkovaní a liečba musí byť symptomatická.</w:t>
      </w:r>
    </w:p>
    <w:p w14:paraId="322CD0E8" w14:textId="77777777" w:rsidR="0064044D" w:rsidRDefault="0064044D">
      <w:pPr>
        <w:rPr>
          <w:sz w:val="22"/>
          <w:szCs w:val="22"/>
        </w:rPr>
      </w:pPr>
    </w:p>
    <w:p w14:paraId="7C571730" w14:textId="77777777" w:rsidR="0064044D" w:rsidRDefault="00FC67C3">
      <w:pPr>
        <w:rPr>
          <w:sz w:val="22"/>
          <w:szCs w:val="22"/>
        </w:rPr>
      </w:pPr>
      <w:r>
        <w:rPr>
          <w:sz w:val="22"/>
          <w:szCs w:val="22"/>
        </w:rPr>
        <w:t xml:space="preserve">Pri liečbe predávkovania je potrebné zvážiť možnosť, že boli užité viaceré látky. </w:t>
      </w:r>
    </w:p>
    <w:p w14:paraId="34219482" w14:textId="77777777" w:rsidR="00FC67C3" w:rsidRDefault="0064044D">
      <w:pPr>
        <w:rPr>
          <w:sz w:val="22"/>
          <w:szCs w:val="22"/>
        </w:rPr>
      </w:pPr>
      <w:r w:rsidRPr="00D929C5">
        <w:rPr>
          <w:sz w:val="22"/>
          <w:szCs w:val="22"/>
        </w:rPr>
        <w:t>Ak je pacient pri vedomí, môže sa vyvolať vracanie.</w:t>
      </w:r>
    </w:p>
    <w:p w14:paraId="074B13AD" w14:textId="77777777" w:rsidR="00FC67C3" w:rsidRDefault="00FC67C3">
      <w:pPr>
        <w:rPr>
          <w:sz w:val="22"/>
          <w:szCs w:val="22"/>
        </w:rPr>
      </w:pPr>
      <w:r>
        <w:rPr>
          <w:sz w:val="22"/>
          <w:szCs w:val="22"/>
        </w:rPr>
        <w:t xml:space="preserve">Prospešná môže byť dialýza, pretože väzba </w:t>
      </w:r>
      <w:proofErr w:type="spellStart"/>
      <w:r>
        <w:rPr>
          <w:sz w:val="22"/>
          <w:szCs w:val="22"/>
        </w:rPr>
        <w:t>anastrozolu</w:t>
      </w:r>
      <w:proofErr w:type="spellEnd"/>
      <w:r>
        <w:rPr>
          <w:sz w:val="22"/>
          <w:szCs w:val="22"/>
        </w:rPr>
        <w:t xml:space="preserve"> na bielkoviny nie je vysoká. </w:t>
      </w:r>
    </w:p>
    <w:p w14:paraId="663E7C28" w14:textId="77777777" w:rsidR="00FC67C3" w:rsidRDefault="00FC67C3">
      <w:pPr>
        <w:rPr>
          <w:sz w:val="22"/>
          <w:szCs w:val="22"/>
        </w:rPr>
      </w:pPr>
      <w:r>
        <w:rPr>
          <w:sz w:val="22"/>
          <w:szCs w:val="22"/>
        </w:rPr>
        <w:t>Indikujú sa všeobecné podporné opatrenia, vrátane častého monitorovania vitálnych funkcií a starostlivé pozorovanie pacienta.</w:t>
      </w:r>
    </w:p>
    <w:p w14:paraId="062E0019" w14:textId="77777777" w:rsidR="00FC67C3" w:rsidRDefault="00FC67C3">
      <w:pPr>
        <w:rPr>
          <w:sz w:val="22"/>
          <w:szCs w:val="22"/>
        </w:rPr>
      </w:pPr>
    </w:p>
    <w:p w14:paraId="2DC67256" w14:textId="77777777" w:rsidR="00FC67C3" w:rsidRDefault="00FC67C3">
      <w:pPr>
        <w:rPr>
          <w:sz w:val="22"/>
          <w:szCs w:val="22"/>
        </w:rPr>
      </w:pPr>
    </w:p>
    <w:p w14:paraId="311D0A03" w14:textId="77777777" w:rsidR="00FC67C3" w:rsidRDefault="00FC67C3">
      <w:pPr>
        <w:rPr>
          <w:b/>
          <w:sz w:val="22"/>
          <w:szCs w:val="22"/>
        </w:rPr>
      </w:pPr>
      <w:r>
        <w:rPr>
          <w:b/>
          <w:sz w:val="22"/>
          <w:szCs w:val="22"/>
        </w:rPr>
        <w:t>5.</w:t>
      </w:r>
      <w:r>
        <w:rPr>
          <w:b/>
          <w:sz w:val="22"/>
          <w:szCs w:val="22"/>
        </w:rPr>
        <w:tab/>
        <w:t>FARMAKOLOGICKÉ VLASTNOSTI</w:t>
      </w:r>
    </w:p>
    <w:p w14:paraId="4215D47B" w14:textId="77777777" w:rsidR="00FC67C3" w:rsidRDefault="00FC67C3">
      <w:pPr>
        <w:rPr>
          <w:b/>
          <w:sz w:val="22"/>
          <w:szCs w:val="22"/>
        </w:rPr>
      </w:pPr>
    </w:p>
    <w:p w14:paraId="5A853FC9" w14:textId="77777777" w:rsidR="00FC67C3" w:rsidRDefault="00FC67C3">
      <w:pPr>
        <w:rPr>
          <w:b/>
          <w:sz w:val="22"/>
          <w:szCs w:val="22"/>
        </w:rPr>
      </w:pPr>
      <w:r>
        <w:rPr>
          <w:b/>
          <w:sz w:val="22"/>
          <w:szCs w:val="22"/>
        </w:rPr>
        <w:t>5.1</w:t>
      </w:r>
      <w:r>
        <w:rPr>
          <w:b/>
          <w:sz w:val="22"/>
          <w:szCs w:val="22"/>
        </w:rPr>
        <w:tab/>
      </w:r>
      <w:proofErr w:type="spellStart"/>
      <w:r>
        <w:rPr>
          <w:b/>
          <w:sz w:val="22"/>
          <w:szCs w:val="22"/>
        </w:rPr>
        <w:t>Farmakodynamické</w:t>
      </w:r>
      <w:proofErr w:type="spellEnd"/>
      <w:r>
        <w:rPr>
          <w:b/>
          <w:sz w:val="22"/>
          <w:szCs w:val="22"/>
        </w:rPr>
        <w:t xml:space="preserve"> vlastnosti</w:t>
      </w:r>
    </w:p>
    <w:p w14:paraId="44ECD856" w14:textId="77777777" w:rsidR="00FC67C3" w:rsidRDefault="00FC67C3">
      <w:pPr>
        <w:rPr>
          <w:b/>
          <w:sz w:val="22"/>
          <w:szCs w:val="22"/>
        </w:rPr>
      </w:pPr>
    </w:p>
    <w:p w14:paraId="4D343EAC" w14:textId="77777777" w:rsidR="00FC67C3" w:rsidRDefault="00FC67C3">
      <w:pPr>
        <w:rPr>
          <w:b/>
          <w:sz w:val="22"/>
          <w:szCs w:val="22"/>
        </w:rPr>
      </w:pPr>
      <w:proofErr w:type="spellStart"/>
      <w:r>
        <w:rPr>
          <w:b/>
          <w:sz w:val="22"/>
          <w:szCs w:val="22"/>
        </w:rPr>
        <w:t>Farmakoterapeutická</w:t>
      </w:r>
      <w:proofErr w:type="spellEnd"/>
      <w:r>
        <w:rPr>
          <w:b/>
          <w:sz w:val="22"/>
          <w:szCs w:val="22"/>
        </w:rPr>
        <w:t xml:space="preserve"> skupina: </w:t>
      </w:r>
      <w:r>
        <w:rPr>
          <w:sz w:val="22"/>
          <w:szCs w:val="22"/>
        </w:rPr>
        <w:t>inhibítory enzýmu.</w:t>
      </w:r>
    </w:p>
    <w:p w14:paraId="685527BF" w14:textId="77777777" w:rsidR="00FC67C3" w:rsidRDefault="00FC67C3">
      <w:pPr>
        <w:rPr>
          <w:sz w:val="22"/>
          <w:szCs w:val="22"/>
        </w:rPr>
      </w:pPr>
      <w:r>
        <w:rPr>
          <w:sz w:val="22"/>
          <w:szCs w:val="22"/>
        </w:rPr>
        <w:t>ATC kód: L02B G03</w:t>
      </w:r>
    </w:p>
    <w:p w14:paraId="25E2AD5E" w14:textId="77777777" w:rsidR="00FC67C3" w:rsidRDefault="00FC67C3">
      <w:pPr>
        <w:rPr>
          <w:sz w:val="22"/>
          <w:szCs w:val="22"/>
        </w:rPr>
      </w:pPr>
    </w:p>
    <w:p w14:paraId="0421C6F8" w14:textId="77777777" w:rsidR="00DA0338" w:rsidRPr="002F32F0" w:rsidRDefault="00DA0338" w:rsidP="00DA0338">
      <w:pPr>
        <w:jc w:val="both"/>
        <w:rPr>
          <w:bCs/>
          <w:iCs/>
          <w:sz w:val="22"/>
          <w:szCs w:val="22"/>
        </w:rPr>
      </w:pPr>
      <w:r w:rsidRPr="002F32F0">
        <w:rPr>
          <w:bCs/>
          <w:iCs/>
          <w:sz w:val="22"/>
          <w:szCs w:val="22"/>
        </w:rPr>
        <w:t>Spôsob účinku a </w:t>
      </w:r>
      <w:proofErr w:type="spellStart"/>
      <w:r w:rsidRPr="002F32F0">
        <w:rPr>
          <w:bCs/>
          <w:iCs/>
          <w:sz w:val="22"/>
          <w:szCs w:val="22"/>
        </w:rPr>
        <w:t>farmakodynamické</w:t>
      </w:r>
      <w:proofErr w:type="spellEnd"/>
      <w:r w:rsidRPr="002F32F0">
        <w:rPr>
          <w:bCs/>
          <w:iCs/>
          <w:sz w:val="22"/>
          <w:szCs w:val="22"/>
        </w:rPr>
        <w:t xml:space="preserve"> účinky</w:t>
      </w:r>
    </w:p>
    <w:p w14:paraId="1EDAC713" w14:textId="77777777" w:rsidR="00DA0338" w:rsidRDefault="00DA0338">
      <w:pPr>
        <w:rPr>
          <w:sz w:val="22"/>
          <w:szCs w:val="22"/>
        </w:rPr>
      </w:pPr>
    </w:p>
    <w:p w14:paraId="4A13F978" w14:textId="77777777" w:rsidR="00FC67C3" w:rsidRDefault="00FC67C3">
      <w:pPr>
        <w:autoSpaceDE w:val="0"/>
        <w:autoSpaceDN w:val="0"/>
        <w:adjustRightInd w:val="0"/>
        <w:rPr>
          <w:sz w:val="22"/>
          <w:szCs w:val="22"/>
        </w:rPr>
      </w:pPr>
      <w:proofErr w:type="spellStart"/>
      <w:r>
        <w:rPr>
          <w:sz w:val="22"/>
          <w:szCs w:val="22"/>
        </w:rPr>
        <w:t>Anastrozol</w:t>
      </w:r>
      <w:proofErr w:type="spellEnd"/>
      <w:r>
        <w:rPr>
          <w:sz w:val="22"/>
          <w:szCs w:val="22"/>
        </w:rPr>
        <w:t xml:space="preserve"> je silný a vysoko selektívny </w:t>
      </w:r>
      <w:proofErr w:type="spellStart"/>
      <w:r>
        <w:rPr>
          <w:sz w:val="22"/>
          <w:szCs w:val="22"/>
        </w:rPr>
        <w:t>nesteroidný</w:t>
      </w:r>
      <w:proofErr w:type="spellEnd"/>
      <w:r>
        <w:rPr>
          <w:sz w:val="22"/>
          <w:szCs w:val="22"/>
        </w:rPr>
        <w:t xml:space="preserve"> inhibítor </w:t>
      </w:r>
      <w:proofErr w:type="spellStart"/>
      <w:r>
        <w:rPr>
          <w:sz w:val="22"/>
          <w:szCs w:val="22"/>
        </w:rPr>
        <w:t>aromatázy</w:t>
      </w:r>
      <w:proofErr w:type="spellEnd"/>
      <w:r>
        <w:rPr>
          <w:sz w:val="22"/>
          <w:szCs w:val="22"/>
        </w:rPr>
        <w:t>. U </w:t>
      </w:r>
      <w:proofErr w:type="spellStart"/>
      <w:r>
        <w:rPr>
          <w:sz w:val="22"/>
          <w:szCs w:val="22"/>
        </w:rPr>
        <w:t>postmenopauzálnych</w:t>
      </w:r>
      <w:proofErr w:type="spellEnd"/>
      <w:r>
        <w:rPr>
          <w:sz w:val="22"/>
          <w:szCs w:val="22"/>
        </w:rPr>
        <w:t xml:space="preserve"> žien sa </w:t>
      </w:r>
      <w:proofErr w:type="spellStart"/>
      <w:r>
        <w:rPr>
          <w:sz w:val="22"/>
          <w:szCs w:val="22"/>
        </w:rPr>
        <w:t>estradiol</w:t>
      </w:r>
      <w:proofErr w:type="spellEnd"/>
      <w:r>
        <w:rPr>
          <w:sz w:val="22"/>
          <w:szCs w:val="22"/>
        </w:rPr>
        <w:t xml:space="preserve"> tvorí hlavne premenou </w:t>
      </w:r>
      <w:proofErr w:type="spellStart"/>
      <w:r>
        <w:rPr>
          <w:sz w:val="22"/>
          <w:szCs w:val="22"/>
        </w:rPr>
        <w:t>androstendiónu</w:t>
      </w:r>
      <w:proofErr w:type="spellEnd"/>
      <w:r>
        <w:rPr>
          <w:sz w:val="22"/>
          <w:szCs w:val="22"/>
        </w:rPr>
        <w:t xml:space="preserve"> na </w:t>
      </w:r>
      <w:proofErr w:type="spellStart"/>
      <w:r>
        <w:rPr>
          <w:sz w:val="22"/>
          <w:szCs w:val="22"/>
        </w:rPr>
        <w:t>estrón</w:t>
      </w:r>
      <w:proofErr w:type="spellEnd"/>
      <w:r>
        <w:rPr>
          <w:sz w:val="22"/>
          <w:szCs w:val="22"/>
        </w:rPr>
        <w:t xml:space="preserve"> prostredníctvom </w:t>
      </w:r>
      <w:proofErr w:type="spellStart"/>
      <w:r>
        <w:rPr>
          <w:sz w:val="22"/>
          <w:szCs w:val="22"/>
        </w:rPr>
        <w:t>aromatázového</w:t>
      </w:r>
      <w:proofErr w:type="spellEnd"/>
      <w:r>
        <w:rPr>
          <w:sz w:val="22"/>
          <w:szCs w:val="22"/>
        </w:rPr>
        <w:t xml:space="preserve"> enzýmového komplexu v periférnych tkanivách. </w:t>
      </w:r>
      <w:proofErr w:type="spellStart"/>
      <w:r>
        <w:rPr>
          <w:sz w:val="22"/>
          <w:szCs w:val="22"/>
        </w:rPr>
        <w:t>Estrón</w:t>
      </w:r>
      <w:proofErr w:type="spellEnd"/>
      <w:r>
        <w:rPr>
          <w:sz w:val="22"/>
          <w:szCs w:val="22"/>
        </w:rPr>
        <w:t xml:space="preserve"> sa následne premieňa na </w:t>
      </w:r>
      <w:proofErr w:type="spellStart"/>
      <w:r>
        <w:rPr>
          <w:sz w:val="22"/>
          <w:szCs w:val="22"/>
        </w:rPr>
        <w:t>estradiol</w:t>
      </w:r>
      <w:proofErr w:type="spellEnd"/>
      <w:r>
        <w:rPr>
          <w:sz w:val="22"/>
          <w:szCs w:val="22"/>
        </w:rPr>
        <w:t xml:space="preserve">. Zistilo sa, že znížené cirkulujúce hladiny </w:t>
      </w:r>
      <w:proofErr w:type="spellStart"/>
      <w:r>
        <w:rPr>
          <w:sz w:val="22"/>
          <w:szCs w:val="22"/>
        </w:rPr>
        <w:t>estradiolu</w:t>
      </w:r>
      <w:proofErr w:type="spellEnd"/>
      <w:r>
        <w:rPr>
          <w:sz w:val="22"/>
          <w:szCs w:val="22"/>
        </w:rPr>
        <w:t xml:space="preserve"> sú prospešné u žien s rakovinou prsníka. </w:t>
      </w:r>
    </w:p>
    <w:p w14:paraId="7B565B10" w14:textId="77777777" w:rsidR="00FC67C3" w:rsidRDefault="00FC67C3">
      <w:pPr>
        <w:autoSpaceDE w:val="0"/>
        <w:autoSpaceDN w:val="0"/>
        <w:adjustRightInd w:val="0"/>
        <w:rPr>
          <w:sz w:val="22"/>
          <w:szCs w:val="22"/>
        </w:rPr>
      </w:pPr>
    </w:p>
    <w:p w14:paraId="3AF07949" w14:textId="77777777" w:rsidR="00FC67C3" w:rsidRDefault="00FC67C3">
      <w:pPr>
        <w:autoSpaceDE w:val="0"/>
        <w:autoSpaceDN w:val="0"/>
        <w:adjustRightInd w:val="0"/>
        <w:rPr>
          <w:sz w:val="22"/>
          <w:szCs w:val="22"/>
        </w:rPr>
      </w:pPr>
      <w:r>
        <w:rPr>
          <w:sz w:val="22"/>
          <w:szCs w:val="22"/>
        </w:rPr>
        <w:t xml:space="preserve">Vysoko senzitívny rozbor ukázal, že </w:t>
      </w:r>
      <w:proofErr w:type="spellStart"/>
      <w:r>
        <w:rPr>
          <w:sz w:val="22"/>
          <w:szCs w:val="22"/>
        </w:rPr>
        <w:t>anastrozol</w:t>
      </w:r>
      <w:proofErr w:type="spellEnd"/>
      <w:r>
        <w:rPr>
          <w:sz w:val="22"/>
          <w:szCs w:val="22"/>
        </w:rPr>
        <w:t xml:space="preserve"> v dennej dávke 1 mg spôsobuje u </w:t>
      </w:r>
      <w:proofErr w:type="spellStart"/>
      <w:r>
        <w:rPr>
          <w:sz w:val="22"/>
          <w:szCs w:val="22"/>
        </w:rPr>
        <w:t>postmenopauzálnych</w:t>
      </w:r>
      <w:proofErr w:type="spellEnd"/>
      <w:r>
        <w:rPr>
          <w:sz w:val="22"/>
          <w:szCs w:val="22"/>
        </w:rPr>
        <w:t xml:space="preserve"> žien viac ako 80</w:t>
      </w:r>
      <w:r w:rsidR="0059676A">
        <w:rPr>
          <w:sz w:val="22"/>
          <w:szCs w:val="22"/>
        </w:rPr>
        <w:t> </w:t>
      </w:r>
      <w:r>
        <w:rPr>
          <w:sz w:val="22"/>
          <w:szCs w:val="22"/>
        </w:rPr>
        <w:t>%-</w:t>
      </w:r>
      <w:proofErr w:type="spellStart"/>
      <w:r>
        <w:rPr>
          <w:sz w:val="22"/>
          <w:szCs w:val="22"/>
        </w:rPr>
        <w:t>nú</w:t>
      </w:r>
      <w:proofErr w:type="spellEnd"/>
      <w:r>
        <w:rPr>
          <w:sz w:val="22"/>
          <w:szCs w:val="22"/>
        </w:rPr>
        <w:t xml:space="preserve"> </w:t>
      </w:r>
      <w:proofErr w:type="spellStart"/>
      <w:r>
        <w:rPr>
          <w:sz w:val="22"/>
          <w:szCs w:val="22"/>
        </w:rPr>
        <w:t>supresiu</w:t>
      </w:r>
      <w:proofErr w:type="spellEnd"/>
      <w:r>
        <w:rPr>
          <w:sz w:val="22"/>
          <w:szCs w:val="22"/>
        </w:rPr>
        <w:t xml:space="preserve"> </w:t>
      </w:r>
      <w:proofErr w:type="spellStart"/>
      <w:r>
        <w:rPr>
          <w:sz w:val="22"/>
          <w:szCs w:val="22"/>
        </w:rPr>
        <w:t>estradiolu</w:t>
      </w:r>
      <w:proofErr w:type="spellEnd"/>
      <w:r>
        <w:rPr>
          <w:sz w:val="22"/>
          <w:szCs w:val="22"/>
        </w:rPr>
        <w:t>.</w:t>
      </w:r>
    </w:p>
    <w:p w14:paraId="3669C4C1" w14:textId="77777777" w:rsidR="00FC67C3" w:rsidRDefault="00FC67C3">
      <w:pPr>
        <w:autoSpaceDE w:val="0"/>
        <w:autoSpaceDN w:val="0"/>
        <w:adjustRightInd w:val="0"/>
        <w:rPr>
          <w:sz w:val="22"/>
          <w:szCs w:val="22"/>
        </w:rPr>
      </w:pPr>
      <w:proofErr w:type="spellStart"/>
      <w:r>
        <w:rPr>
          <w:sz w:val="22"/>
          <w:szCs w:val="22"/>
        </w:rPr>
        <w:t>Anastrozol</w:t>
      </w:r>
      <w:proofErr w:type="spellEnd"/>
      <w:r>
        <w:rPr>
          <w:sz w:val="22"/>
          <w:szCs w:val="22"/>
        </w:rPr>
        <w:t xml:space="preserve"> nemá žiadnu </w:t>
      </w:r>
      <w:proofErr w:type="spellStart"/>
      <w:r>
        <w:rPr>
          <w:sz w:val="22"/>
          <w:szCs w:val="22"/>
        </w:rPr>
        <w:t>progestagénnu</w:t>
      </w:r>
      <w:proofErr w:type="spellEnd"/>
      <w:r>
        <w:rPr>
          <w:sz w:val="22"/>
          <w:szCs w:val="22"/>
        </w:rPr>
        <w:t xml:space="preserve">, </w:t>
      </w:r>
      <w:proofErr w:type="spellStart"/>
      <w:r>
        <w:rPr>
          <w:sz w:val="22"/>
          <w:szCs w:val="22"/>
        </w:rPr>
        <w:t>androgénnu</w:t>
      </w:r>
      <w:proofErr w:type="spellEnd"/>
      <w:r>
        <w:rPr>
          <w:sz w:val="22"/>
          <w:szCs w:val="22"/>
        </w:rPr>
        <w:t xml:space="preserve"> alebo </w:t>
      </w:r>
      <w:proofErr w:type="spellStart"/>
      <w:r>
        <w:rPr>
          <w:sz w:val="22"/>
          <w:szCs w:val="22"/>
        </w:rPr>
        <w:t>estrogénnu</w:t>
      </w:r>
      <w:proofErr w:type="spellEnd"/>
      <w:r>
        <w:rPr>
          <w:sz w:val="22"/>
          <w:szCs w:val="22"/>
        </w:rPr>
        <w:t xml:space="preserve"> aktivitu.</w:t>
      </w:r>
    </w:p>
    <w:p w14:paraId="12ADF4C9" w14:textId="77777777" w:rsidR="00FC67C3" w:rsidRDefault="00FC67C3">
      <w:pPr>
        <w:autoSpaceDE w:val="0"/>
        <w:autoSpaceDN w:val="0"/>
        <w:adjustRightInd w:val="0"/>
        <w:rPr>
          <w:sz w:val="22"/>
          <w:szCs w:val="22"/>
        </w:rPr>
      </w:pPr>
    </w:p>
    <w:p w14:paraId="3694803D" w14:textId="77777777" w:rsidR="00FC67C3" w:rsidRDefault="00FC67C3">
      <w:pPr>
        <w:autoSpaceDE w:val="0"/>
        <w:autoSpaceDN w:val="0"/>
        <w:adjustRightInd w:val="0"/>
        <w:rPr>
          <w:sz w:val="22"/>
          <w:szCs w:val="22"/>
        </w:rPr>
      </w:pPr>
      <w:proofErr w:type="spellStart"/>
      <w:r>
        <w:rPr>
          <w:sz w:val="22"/>
          <w:szCs w:val="22"/>
        </w:rPr>
        <w:t>Anastrozol</w:t>
      </w:r>
      <w:proofErr w:type="spellEnd"/>
      <w:r>
        <w:rPr>
          <w:sz w:val="22"/>
          <w:szCs w:val="22"/>
        </w:rPr>
        <w:t xml:space="preserve"> v dennej dávke do 10 mg nemá žiadny účinok na sekréciu </w:t>
      </w:r>
      <w:proofErr w:type="spellStart"/>
      <w:r>
        <w:rPr>
          <w:sz w:val="22"/>
          <w:szCs w:val="22"/>
        </w:rPr>
        <w:t>kortizolu</w:t>
      </w:r>
      <w:proofErr w:type="spellEnd"/>
      <w:r>
        <w:rPr>
          <w:sz w:val="22"/>
          <w:szCs w:val="22"/>
        </w:rPr>
        <w:t xml:space="preserve"> alebo </w:t>
      </w:r>
      <w:proofErr w:type="spellStart"/>
      <w:r>
        <w:rPr>
          <w:sz w:val="22"/>
          <w:szCs w:val="22"/>
        </w:rPr>
        <w:t>aldosterónu</w:t>
      </w:r>
      <w:proofErr w:type="spellEnd"/>
      <w:r>
        <w:rPr>
          <w:sz w:val="22"/>
          <w:szCs w:val="22"/>
        </w:rPr>
        <w:t xml:space="preserve"> stanovenú pred alebo po štandardnej ACTH stimulácii. Preto nie je potrebné pridávať </w:t>
      </w:r>
      <w:proofErr w:type="spellStart"/>
      <w:r>
        <w:rPr>
          <w:sz w:val="22"/>
          <w:szCs w:val="22"/>
        </w:rPr>
        <w:t>kortikoidy</w:t>
      </w:r>
      <w:proofErr w:type="spellEnd"/>
      <w:r>
        <w:rPr>
          <w:sz w:val="22"/>
          <w:szCs w:val="22"/>
        </w:rPr>
        <w:t>.</w:t>
      </w:r>
    </w:p>
    <w:p w14:paraId="7A0866FE" w14:textId="77777777" w:rsidR="00FC67C3" w:rsidRDefault="00FC67C3">
      <w:pPr>
        <w:autoSpaceDE w:val="0"/>
        <w:autoSpaceDN w:val="0"/>
        <w:adjustRightInd w:val="0"/>
        <w:rPr>
          <w:sz w:val="22"/>
          <w:szCs w:val="22"/>
        </w:rPr>
      </w:pPr>
    </w:p>
    <w:p w14:paraId="2F641F60" w14:textId="77777777" w:rsidR="003873A8" w:rsidRPr="00D929C5" w:rsidRDefault="003873A8" w:rsidP="003873A8">
      <w:pPr>
        <w:rPr>
          <w:sz w:val="22"/>
          <w:szCs w:val="22"/>
          <w:u w:val="single"/>
        </w:rPr>
      </w:pPr>
      <w:r>
        <w:rPr>
          <w:sz w:val="22"/>
          <w:szCs w:val="22"/>
          <w:u w:val="single"/>
        </w:rPr>
        <w:t>Klinická účinnosť a bezpečnosť</w:t>
      </w:r>
    </w:p>
    <w:p w14:paraId="2F147E84" w14:textId="77777777" w:rsidR="003873A8" w:rsidRDefault="003873A8" w:rsidP="002F32F0">
      <w:pPr>
        <w:pStyle w:val="Nadpis6"/>
        <w:spacing w:before="0" w:after="0"/>
        <w:rPr>
          <w:rFonts w:ascii="Times New Roman" w:hAnsi="Times New Roman"/>
          <w:b w:val="0"/>
          <w:bCs w:val="0"/>
          <w:iCs/>
          <w:u w:val="single"/>
        </w:rPr>
      </w:pPr>
    </w:p>
    <w:p w14:paraId="40466339" w14:textId="77777777" w:rsidR="003873A8" w:rsidRPr="002F32F0" w:rsidRDefault="003873A8" w:rsidP="002F32F0">
      <w:pPr>
        <w:pStyle w:val="Nadpis6"/>
        <w:spacing w:before="0" w:after="0"/>
        <w:rPr>
          <w:rFonts w:ascii="Times New Roman" w:hAnsi="Times New Roman"/>
          <w:b w:val="0"/>
          <w:bCs w:val="0"/>
          <w:i/>
          <w:iCs/>
          <w:u w:val="single"/>
        </w:rPr>
      </w:pPr>
      <w:r w:rsidRPr="002F32F0">
        <w:rPr>
          <w:rFonts w:ascii="Times New Roman" w:hAnsi="Times New Roman"/>
          <w:b w:val="0"/>
          <w:bCs w:val="0"/>
          <w:i/>
          <w:iCs/>
          <w:u w:val="single"/>
        </w:rPr>
        <w:t>Pokročilý karcinóm prsníka</w:t>
      </w:r>
    </w:p>
    <w:p w14:paraId="6759504E" w14:textId="77777777" w:rsidR="0059676A" w:rsidRDefault="0059676A" w:rsidP="003873A8">
      <w:pPr>
        <w:autoSpaceDE w:val="0"/>
        <w:autoSpaceDN w:val="0"/>
        <w:adjustRightInd w:val="0"/>
        <w:rPr>
          <w:sz w:val="22"/>
          <w:szCs w:val="22"/>
          <w:u w:val="single"/>
        </w:rPr>
      </w:pPr>
    </w:p>
    <w:p w14:paraId="686AAEEE" w14:textId="77777777" w:rsidR="003873A8" w:rsidRPr="002F32F0" w:rsidRDefault="003873A8" w:rsidP="002F32F0">
      <w:pPr>
        <w:pStyle w:val="Nadpis6"/>
        <w:spacing w:before="0" w:after="0"/>
        <w:rPr>
          <w:rFonts w:ascii="Times New Roman" w:hAnsi="Times New Roman"/>
          <w:b w:val="0"/>
          <w:i/>
        </w:rPr>
      </w:pPr>
      <w:r w:rsidRPr="00103C9F">
        <w:rPr>
          <w:rFonts w:ascii="Times New Roman" w:hAnsi="Times New Roman"/>
          <w:b w:val="0"/>
          <w:i/>
        </w:rPr>
        <w:t xml:space="preserve">Liečba prvej voľby u žien po </w:t>
      </w:r>
      <w:proofErr w:type="spellStart"/>
      <w:r w:rsidRPr="00103C9F">
        <w:rPr>
          <w:rFonts w:ascii="Times New Roman" w:hAnsi="Times New Roman"/>
          <w:b w:val="0"/>
          <w:i/>
        </w:rPr>
        <w:t>menopauze</w:t>
      </w:r>
      <w:proofErr w:type="spellEnd"/>
      <w:r w:rsidRPr="00103C9F">
        <w:rPr>
          <w:rFonts w:ascii="Times New Roman" w:hAnsi="Times New Roman"/>
          <w:b w:val="0"/>
          <w:i/>
        </w:rPr>
        <w:t xml:space="preserve"> s pokročilým karcinómom prsníka </w:t>
      </w:r>
    </w:p>
    <w:p w14:paraId="5FC5BE32" w14:textId="77777777" w:rsidR="003873A8" w:rsidRPr="00D929C5" w:rsidRDefault="003873A8" w:rsidP="003873A8">
      <w:pPr>
        <w:rPr>
          <w:sz w:val="22"/>
          <w:szCs w:val="22"/>
        </w:rPr>
      </w:pPr>
      <w:r w:rsidRPr="00D929C5">
        <w:rPr>
          <w:sz w:val="22"/>
          <w:szCs w:val="22"/>
        </w:rPr>
        <w:t xml:space="preserve">V dvoch dvojito zaslepených, kontrolovaných klinických štúdiách s podobným usporiadaním (štúdia 1033IL/0030 a štúdia 1033IL/0027) sa posúdila účinnosť </w:t>
      </w:r>
      <w:proofErr w:type="spellStart"/>
      <w:r w:rsidRPr="00D929C5">
        <w:rPr>
          <w:sz w:val="22"/>
          <w:szCs w:val="22"/>
        </w:rPr>
        <w:t>anastrozolu</w:t>
      </w:r>
      <w:proofErr w:type="spellEnd"/>
      <w:r w:rsidRPr="00D929C5">
        <w:rPr>
          <w:sz w:val="22"/>
          <w:szCs w:val="22"/>
        </w:rPr>
        <w:t xml:space="preserve"> v porovnaní s </w:t>
      </w:r>
      <w:proofErr w:type="spellStart"/>
      <w:r w:rsidRPr="00D929C5">
        <w:rPr>
          <w:sz w:val="22"/>
          <w:szCs w:val="22"/>
        </w:rPr>
        <w:t>tamoxif</w:t>
      </w:r>
      <w:r>
        <w:rPr>
          <w:sz w:val="22"/>
          <w:szCs w:val="22"/>
        </w:rPr>
        <w:t>é</w:t>
      </w:r>
      <w:r w:rsidRPr="00D929C5">
        <w:rPr>
          <w:sz w:val="22"/>
          <w:szCs w:val="22"/>
        </w:rPr>
        <w:t>nom</w:t>
      </w:r>
      <w:proofErr w:type="spellEnd"/>
      <w:r w:rsidRPr="00D929C5">
        <w:rPr>
          <w:sz w:val="22"/>
          <w:szCs w:val="22"/>
        </w:rPr>
        <w:t xml:space="preserve"> ako liečby prvej voľby u žien po </w:t>
      </w:r>
      <w:proofErr w:type="spellStart"/>
      <w:r w:rsidRPr="00D929C5">
        <w:rPr>
          <w:sz w:val="22"/>
          <w:szCs w:val="22"/>
        </w:rPr>
        <w:t>menopauze</w:t>
      </w:r>
      <w:proofErr w:type="spellEnd"/>
      <w:r w:rsidRPr="00D929C5">
        <w:rPr>
          <w:sz w:val="22"/>
          <w:szCs w:val="22"/>
        </w:rPr>
        <w:t xml:space="preserve"> s lokálne pokročilým alebo metastázujúcim karcinómom prsníka pozitívnym na hormonálne receptory alebo s neznámym stavom hormonálnych receptorov. Celkove bolo </w:t>
      </w:r>
      <w:proofErr w:type="spellStart"/>
      <w:r w:rsidRPr="00D929C5">
        <w:rPr>
          <w:sz w:val="22"/>
          <w:szCs w:val="22"/>
        </w:rPr>
        <w:t>randomizovaných</w:t>
      </w:r>
      <w:proofErr w:type="spellEnd"/>
      <w:r w:rsidRPr="00D929C5">
        <w:rPr>
          <w:sz w:val="22"/>
          <w:szCs w:val="22"/>
        </w:rPr>
        <w:t xml:space="preserve"> 1 021 </w:t>
      </w:r>
      <w:proofErr w:type="spellStart"/>
      <w:r w:rsidRPr="00D929C5">
        <w:rPr>
          <w:sz w:val="22"/>
          <w:szCs w:val="22"/>
        </w:rPr>
        <w:t>pacientok</w:t>
      </w:r>
      <w:proofErr w:type="spellEnd"/>
      <w:r w:rsidRPr="00D929C5">
        <w:rPr>
          <w:sz w:val="22"/>
          <w:szCs w:val="22"/>
        </w:rPr>
        <w:t xml:space="preserve">. Jednej skupine sa podával 1 mg </w:t>
      </w:r>
      <w:proofErr w:type="spellStart"/>
      <w:r w:rsidRPr="00D929C5">
        <w:rPr>
          <w:sz w:val="22"/>
          <w:szCs w:val="22"/>
        </w:rPr>
        <w:t>anastrozolu</w:t>
      </w:r>
      <w:proofErr w:type="spellEnd"/>
      <w:r w:rsidRPr="00D929C5">
        <w:rPr>
          <w:sz w:val="22"/>
          <w:szCs w:val="22"/>
        </w:rPr>
        <w:t xml:space="preserve"> jedenkrát denne, druhej 20 mg </w:t>
      </w:r>
      <w:proofErr w:type="spellStart"/>
      <w:r w:rsidRPr="00D929C5">
        <w:rPr>
          <w:sz w:val="22"/>
          <w:szCs w:val="22"/>
        </w:rPr>
        <w:t>tamoxif</w:t>
      </w:r>
      <w:r>
        <w:rPr>
          <w:sz w:val="22"/>
          <w:szCs w:val="22"/>
        </w:rPr>
        <w:t>é</w:t>
      </w:r>
      <w:r w:rsidRPr="00D929C5">
        <w:rPr>
          <w:sz w:val="22"/>
          <w:szCs w:val="22"/>
        </w:rPr>
        <w:t>nu</w:t>
      </w:r>
      <w:proofErr w:type="spellEnd"/>
      <w:r w:rsidRPr="00D929C5">
        <w:rPr>
          <w:sz w:val="22"/>
          <w:szCs w:val="22"/>
        </w:rPr>
        <w:t xml:space="preserve"> raz denne. Primárne koncové ukazovatele v oboch štúdiách boli čas do progresie nádoru, objektívna miera odpovede nádoru a bezpečnosť.</w:t>
      </w:r>
    </w:p>
    <w:p w14:paraId="401E66EB" w14:textId="77777777" w:rsidR="003873A8" w:rsidRPr="00D929C5" w:rsidRDefault="003873A8" w:rsidP="003873A8">
      <w:pPr>
        <w:rPr>
          <w:sz w:val="22"/>
          <w:szCs w:val="22"/>
        </w:rPr>
      </w:pPr>
    </w:p>
    <w:p w14:paraId="695F2EA5" w14:textId="77777777" w:rsidR="003873A8" w:rsidRDefault="003873A8" w:rsidP="003873A8">
      <w:pPr>
        <w:rPr>
          <w:sz w:val="22"/>
          <w:szCs w:val="22"/>
        </w:rPr>
      </w:pPr>
      <w:r w:rsidRPr="00D929C5">
        <w:rPr>
          <w:sz w:val="22"/>
          <w:szCs w:val="22"/>
        </w:rPr>
        <w:t xml:space="preserve">Čo sa týka primárnych koncových ukazovateľov, štúdia 1033IL/0030 ukázala, že </w:t>
      </w:r>
      <w:proofErr w:type="spellStart"/>
      <w:r w:rsidRPr="00D929C5">
        <w:rPr>
          <w:sz w:val="22"/>
          <w:szCs w:val="22"/>
        </w:rPr>
        <w:t>anastrozol</w:t>
      </w:r>
      <w:proofErr w:type="spellEnd"/>
      <w:r w:rsidRPr="00D929C5">
        <w:rPr>
          <w:sz w:val="22"/>
          <w:szCs w:val="22"/>
        </w:rPr>
        <w:t xml:space="preserve"> bol štatisticky významne lepší než </w:t>
      </w:r>
      <w:proofErr w:type="spellStart"/>
      <w:r w:rsidRPr="00D929C5">
        <w:rPr>
          <w:sz w:val="22"/>
          <w:szCs w:val="22"/>
        </w:rPr>
        <w:t>tamoxif</w:t>
      </w:r>
      <w:r>
        <w:rPr>
          <w:sz w:val="22"/>
          <w:szCs w:val="22"/>
        </w:rPr>
        <w:t>é</w:t>
      </w:r>
      <w:r w:rsidRPr="00D929C5">
        <w:rPr>
          <w:sz w:val="22"/>
          <w:szCs w:val="22"/>
        </w:rPr>
        <w:t>n</w:t>
      </w:r>
      <w:proofErr w:type="spellEnd"/>
      <w:r w:rsidRPr="00D929C5">
        <w:rPr>
          <w:sz w:val="22"/>
          <w:szCs w:val="22"/>
        </w:rPr>
        <w:t xml:space="preserve"> v čase do progresie nádoru (pomer rizík (Hazard </w:t>
      </w:r>
      <w:proofErr w:type="spellStart"/>
      <w:r w:rsidRPr="00D929C5">
        <w:rPr>
          <w:sz w:val="22"/>
          <w:szCs w:val="22"/>
        </w:rPr>
        <w:t>ratio</w:t>
      </w:r>
      <w:proofErr w:type="spellEnd"/>
      <w:r w:rsidRPr="00D929C5">
        <w:rPr>
          <w:sz w:val="22"/>
          <w:szCs w:val="22"/>
        </w:rPr>
        <w:t>, HR): 1,42; 95 % interval spoľahlivosti (</w:t>
      </w:r>
      <w:proofErr w:type="spellStart"/>
      <w:r w:rsidRPr="00D929C5">
        <w:rPr>
          <w:sz w:val="22"/>
          <w:szCs w:val="22"/>
        </w:rPr>
        <w:t>Confidence</w:t>
      </w:r>
      <w:proofErr w:type="spellEnd"/>
      <w:r w:rsidRPr="00D929C5">
        <w:rPr>
          <w:sz w:val="22"/>
          <w:szCs w:val="22"/>
        </w:rPr>
        <w:t xml:space="preserve"> interval, CI): 1,11 – 1,82; medián času do progresie: 11,1 mesiacov pre </w:t>
      </w:r>
      <w:proofErr w:type="spellStart"/>
      <w:r w:rsidRPr="00D929C5">
        <w:rPr>
          <w:sz w:val="22"/>
          <w:szCs w:val="22"/>
        </w:rPr>
        <w:t>anastrozol</w:t>
      </w:r>
      <w:proofErr w:type="spellEnd"/>
      <w:r w:rsidRPr="00D929C5">
        <w:rPr>
          <w:sz w:val="22"/>
          <w:szCs w:val="22"/>
        </w:rPr>
        <w:t xml:space="preserve"> a 5,6 mesiaca pre </w:t>
      </w:r>
      <w:proofErr w:type="spellStart"/>
      <w:r w:rsidRPr="00D929C5">
        <w:rPr>
          <w:sz w:val="22"/>
          <w:szCs w:val="22"/>
        </w:rPr>
        <w:t>tamoxifen</w:t>
      </w:r>
      <w:proofErr w:type="spellEnd"/>
      <w:r w:rsidRPr="00D929C5">
        <w:rPr>
          <w:sz w:val="22"/>
          <w:szCs w:val="22"/>
        </w:rPr>
        <w:t xml:space="preserve">, p = 0,006). Miera objektívnej odpovede nádoru bola pre </w:t>
      </w:r>
      <w:proofErr w:type="spellStart"/>
      <w:r w:rsidRPr="00D929C5">
        <w:rPr>
          <w:sz w:val="22"/>
          <w:szCs w:val="22"/>
        </w:rPr>
        <w:t>anastrozol</w:t>
      </w:r>
      <w:proofErr w:type="spellEnd"/>
      <w:r w:rsidRPr="00D929C5">
        <w:rPr>
          <w:sz w:val="22"/>
          <w:szCs w:val="22"/>
        </w:rPr>
        <w:t xml:space="preserve"> a </w:t>
      </w:r>
      <w:proofErr w:type="spellStart"/>
      <w:r w:rsidRPr="00D929C5">
        <w:rPr>
          <w:sz w:val="22"/>
          <w:szCs w:val="22"/>
        </w:rPr>
        <w:t>tamoxif</w:t>
      </w:r>
      <w:r>
        <w:rPr>
          <w:sz w:val="22"/>
          <w:szCs w:val="22"/>
        </w:rPr>
        <w:t>é</w:t>
      </w:r>
      <w:r w:rsidRPr="00D929C5">
        <w:rPr>
          <w:sz w:val="22"/>
          <w:szCs w:val="22"/>
        </w:rPr>
        <w:t>n</w:t>
      </w:r>
      <w:proofErr w:type="spellEnd"/>
      <w:r w:rsidRPr="00D929C5">
        <w:rPr>
          <w:sz w:val="22"/>
          <w:szCs w:val="22"/>
        </w:rPr>
        <w:t xml:space="preserve"> podobná. Štúdia 1033IL/0027 ukázala, že </w:t>
      </w:r>
      <w:proofErr w:type="spellStart"/>
      <w:r w:rsidRPr="00D929C5">
        <w:rPr>
          <w:sz w:val="22"/>
          <w:szCs w:val="22"/>
        </w:rPr>
        <w:t>anastrozol</w:t>
      </w:r>
      <w:proofErr w:type="spellEnd"/>
      <w:r w:rsidRPr="00D929C5">
        <w:rPr>
          <w:sz w:val="22"/>
          <w:szCs w:val="22"/>
        </w:rPr>
        <w:t xml:space="preserve"> a</w:t>
      </w:r>
      <w:r>
        <w:rPr>
          <w:sz w:val="22"/>
          <w:szCs w:val="22"/>
        </w:rPr>
        <w:t> </w:t>
      </w:r>
      <w:proofErr w:type="spellStart"/>
      <w:r w:rsidRPr="00D929C5">
        <w:rPr>
          <w:sz w:val="22"/>
          <w:szCs w:val="22"/>
        </w:rPr>
        <w:t>tamoxif</w:t>
      </w:r>
      <w:r>
        <w:rPr>
          <w:sz w:val="22"/>
          <w:szCs w:val="22"/>
        </w:rPr>
        <w:t>é</w:t>
      </w:r>
      <w:r w:rsidRPr="00D929C5">
        <w:rPr>
          <w:sz w:val="22"/>
          <w:szCs w:val="22"/>
        </w:rPr>
        <w:t>n</w:t>
      </w:r>
      <w:proofErr w:type="spellEnd"/>
      <w:r w:rsidRPr="00D929C5">
        <w:rPr>
          <w:sz w:val="22"/>
          <w:szCs w:val="22"/>
        </w:rPr>
        <w:t xml:space="preserve"> mali podobnú mieru objektívnej odpovede nádoru a čas do progresie nádoru. Výsledky sekundárnych koncových ukazovateľov podporovali výsledky primárnych koncových ukazovateľov. Vo všetkých liečebných skupinách oboch štúdií sa vyskytlo príliš málo úmrtí na to, aby sa mohli vyvodiť závery ohľadom rozdielov v celkovom prežívaní.</w:t>
      </w:r>
    </w:p>
    <w:p w14:paraId="038D51A7" w14:textId="77777777" w:rsidR="003873A8" w:rsidRPr="002F32F0" w:rsidRDefault="003873A8" w:rsidP="003873A8">
      <w:pPr>
        <w:rPr>
          <w:sz w:val="22"/>
          <w:szCs w:val="22"/>
        </w:rPr>
      </w:pPr>
    </w:p>
    <w:p w14:paraId="5F8221BF" w14:textId="77777777" w:rsidR="003873A8" w:rsidRPr="002F32F0" w:rsidRDefault="003873A8" w:rsidP="002F32F0">
      <w:pPr>
        <w:pStyle w:val="Nadpis6"/>
        <w:spacing w:before="0" w:after="0"/>
        <w:rPr>
          <w:rFonts w:ascii="Times New Roman" w:hAnsi="Times New Roman"/>
          <w:b w:val="0"/>
          <w:i/>
        </w:rPr>
      </w:pPr>
      <w:r w:rsidRPr="00B56F53">
        <w:rPr>
          <w:rFonts w:ascii="Times New Roman" w:hAnsi="Times New Roman"/>
          <w:b w:val="0"/>
          <w:i/>
        </w:rPr>
        <w:t xml:space="preserve">Liečba druhej voľby u žien po </w:t>
      </w:r>
      <w:proofErr w:type="spellStart"/>
      <w:r w:rsidRPr="00B56F53">
        <w:rPr>
          <w:rFonts w:ascii="Times New Roman" w:hAnsi="Times New Roman"/>
          <w:b w:val="0"/>
          <w:i/>
        </w:rPr>
        <w:t>menopauze</w:t>
      </w:r>
      <w:proofErr w:type="spellEnd"/>
      <w:r w:rsidRPr="00B56F53">
        <w:rPr>
          <w:rFonts w:ascii="Times New Roman" w:hAnsi="Times New Roman"/>
          <w:b w:val="0"/>
          <w:i/>
        </w:rPr>
        <w:t xml:space="preserve"> s pokročilým karcinómom prsníka</w:t>
      </w:r>
    </w:p>
    <w:p w14:paraId="1E55916D" w14:textId="77777777" w:rsidR="003873A8" w:rsidRPr="00D929C5" w:rsidRDefault="003873A8" w:rsidP="003873A8">
      <w:pPr>
        <w:rPr>
          <w:sz w:val="22"/>
          <w:szCs w:val="22"/>
        </w:rPr>
      </w:pPr>
      <w:proofErr w:type="spellStart"/>
      <w:r w:rsidRPr="00D929C5">
        <w:rPr>
          <w:sz w:val="22"/>
          <w:szCs w:val="22"/>
        </w:rPr>
        <w:t>Anastrozol</w:t>
      </w:r>
      <w:proofErr w:type="spellEnd"/>
      <w:r w:rsidRPr="00D929C5">
        <w:rPr>
          <w:sz w:val="22"/>
          <w:szCs w:val="22"/>
        </w:rPr>
        <w:t xml:space="preserve"> sa skúmal v dvoch kontrolovaných klinických štúdiách (štúdia 0004 a štúdia 0005) u žien po </w:t>
      </w:r>
      <w:proofErr w:type="spellStart"/>
      <w:r w:rsidRPr="00D929C5">
        <w:rPr>
          <w:sz w:val="22"/>
          <w:szCs w:val="22"/>
        </w:rPr>
        <w:t>menopauze</w:t>
      </w:r>
      <w:proofErr w:type="spellEnd"/>
      <w:r w:rsidRPr="00D929C5">
        <w:rPr>
          <w:sz w:val="22"/>
          <w:szCs w:val="22"/>
        </w:rPr>
        <w:t xml:space="preserve"> s pokročilým karcinómom prsníka, u ktorých po liečbe </w:t>
      </w:r>
      <w:proofErr w:type="spellStart"/>
      <w:r w:rsidRPr="00D929C5">
        <w:rPr>
          <w:sz w:val="22"/>
          <w:szCs w:val="22"/>
        </w:rPr>
        <w:t>tamoxif</w:t>
      </w:r>
      <w:r>
        <w:rPr>
          <w:sz w:val="22"/>
          <w:szCs w:val="22"/>
        </w:rPr>
        <w:t>é</w:t>
      </w:r>
      <w:r w:rsidRPr="00D929C5">
        <w:rPr>
          <w:sz w:val="22"/>
          <w:szCs w:val="22"/>
        </w:rPr>
        <w:t>nom</w:t>
      </w:r>
      <w:proofErr w:type="spellEnd"/>
      <w:r w:rsidRPr="00D929C5">
        <w:rPr>
          <w:sz w:val="22"/>
          <w:szCs w:val="22"/>
        </w:rPr>
        <w:t xml:space="preserve"> buď pokročilého alebo včasného karcinómu prsníka došlo k progresii ochorenia. Celkovo sa </w:t>
      </w:r>
      <w:proofErr w:type="spellStart"/>
      <w:r w:rsidRPr="00D929C5">
        <w:rPr>
          <w:sz w:val="22"/>
          <w:szCs w:val="22"/>
        </w:rPr>
        <w:t>randomizovalo</w:t>
      </w:r>
      <w:proofErr w:type="spellEnd"/>
      <w:r w:rsidRPr="00D929C5">
        <w:rPr>
          <w:sz w:val="22"/>
          <w:szCs w:val="22"/>
        </w:rPr>
        <w:t xml:space="preserve"> 764</w:t>
      </w:r>
      <w:r>
        <w:rPr>
          <w:sz w:val="22"/>
          <w:szCs w:val="22"/>
        </w:rPr>
        <w:t> </w:t>
      </w:r>
      <w:proofErr w:type="spellStart"/>
      <w:r w:rsidRPr="00D929C5">
        <w:rPr>
          <w:sz w:val="22"/>
          <w:szCs w:val="22"/>
        </w:rPr>
        <w:t>pacientok</w:t>
      </w:r>
      <w:proofErr w:type="spellEnd"/>
      <w:r w:rsidRPr="00D929C5">
        <w:rPr>
          <w:sz w:val="22"/>
          <w:szCs w:val="22"/>
        </w:rPr>
        <w:t xml:space="preserve"> do skupín, v ktorých užívali buď 1 mg alebo 10 mg </w:t>
      </w:r>
      <w:proofErr w:type="spellStart"/>
      <w:r w:rsidRPr="00D929C5">
        <w:rPr>
          <w:sz w:val="22"/>
          <w:szCs w:val="22"/>
        </w:rPr>
        <w:t>anastrozolu</w:t>
      </w:r>
      <w:proofErr w:type="spellEnd"/>
      <w:r w:rsidRPr="00D929C5">
        <w:rPr>
          <w:sz w:val="22"/>
          <w:szCs w:val="22"/>
        </w:rPr>
        <w:t xml:space="preserve"> 1 x denne, alebo 40 mg </w:t>
      </w:r>
      <w:proofErr w:type="spellStart"/>
      <w:r w:rsidRPr="00D929C5">
        <w:rPr>
          <w:sz w:val="22"/>
          <w:szCs w:val="22"/>
        </w:rPr>
        <w:t>me</w:t>
      </w:r>
      <w:r>
        <w:rPr>
          <w:sz w:val="22"/>
          <w:szCs w:val="22"/>
        </w:rPr>
        <w:t>g</w:t>
      </w:r>
      <w:r w:rsidRPr="00D929C5">
        <w:rPr>
          <w:sz w:val="22"/>
          <w:szCs w:val="22"/>
        </w:rPr>
        <w:t>estrolacetátu</w:t>
      </w:r>
      <w:proofErr w:type="spellEnd"/>
      <w:r w:rsidRPr="00D929C5">
        <w:rPr>
          <w:sz w:val="22"/>
          <w:szCs w:val="22"/>
        </w:rPr>
        <w:t xml:space="preserve"> 4 x denne. Primárnymi premennými účinnosti boli: čas do progresie a miera objektívnej odpovede. Tiež sa vypočítali: miera dlhodobého (viac ako 24 týždňov) stabilného ochorenia, miera progresie a prežívania. V oboch štúdiách neboli žiadne významné rozdiely medzi liečebnými skupinami v žiadnom z parametrov účinnosti.</w:t>
      </w:r>
    </w:p>
    <w:p w14:paraId="53B8D1CC" w14:textId="77777777" w:rsidR="003873A8" w:rsidRPr="00D929C5" w:rsidRDefault="003873A8" w:rsidP="003873A8">
      <w:pPr>
        <w:rPr>
          <w:color w:val="000000"/>
          <w:sz w:val="22"/>
          <w:szCs w:val="22"/>
        </w:rPr>
      </w:pPr>
    </w:p>
    <w:p w14:paraId="745558B9" w14:textId="77777777" w:rsidR="003873A8" w:rsidRPr="00B56F53" w:rsidRDefault="003873A8" w:rsidP="002F32F0">
      <w:pPr>
        <w:pStyle w:val="Nadpis6"/>
        <w:spacing w:before="0" w:after="0"/>
        <w:rPr>
          <w:rFonts w:ascii="Times New Roman" w:hAnsi="Times New Roman"/>
          <w:b w:val="0"/>
          <w:i/>
          <w:iCs/>
          <w:u w:val="single"/>
        </w:rPr>
      </w:pPr>
      <w:proofErr w:type="spellStart"/>
      <w:r w:rsidRPr="00B56F53">
        <w:rPr>
          <w:rFonts w:ascii="Times New Roman" w:hAnsi="Times New Roman"/>
          <w:b w:val="0"/>
          <w:i/>
          <w:iCs/>
          <w:u w:val="single"/>
        </w:rPr>
        <w:t>Adjuvantná</w:t>
      </w:r>
      <w:proofErr w:type="spellEnd"/>
      <w:r w:rsidRPr="00B56F53">
        <w:rPr>
          <w:rFonts w:ascii="Times New Roman" w:hAnsi="Times New Roman"/>
          <w:b w:val="0"/>
          <w:i/>
          <w:iCs/>
          <w:u w:val="single"/>
        </w:rPr>
        <w:t xml:space="preserve"> liečba včasného invazívneho karcinómu prsníka pozitívneho na hormonálne receptory</w:t>
      </w:r>
    </w:p>
    <w:p w14:paraId="09399457" w14:textId="77777777" w:rsidR="003873A8" w:rsidRPr="00D929C5" w:rsidRDefault="003873A8" w:rsidP="003873A8">
      <w:pPr>
        <w:autoSpaceDE w:val="0"/>
        <w:autoSpaceDN w:val="0"/>
        <w:adjustRightInd w:val="0"/>
        <w:rPr>
          <w:sz w:val="22"/>
          <w:szCs w:val="22"/>
        </w:rPr>
      </w:pPr>
      <w:r w:rsidRPr="00D929C5">
        <w:rPr>
          <w:sz w:val="22"/>
          <w:szCs w:val="22"/>
        </w:rPr>
        <w:lastRenderedPageBreak/>
        <w:t xml:space="preserve">V rozsiahlej klinickej štúdii fázy III, ktorej sa zúčastnilo 9 366 žien  po </w:t>
      </w:r>
      <w:proofErr w:type="spellStart"/>
      <w:r w:rsidRPr="00D929C5">
        <w:rPr>
          <w:sz w:val="22"/>
          <w:szCs w:val="22"/>
        </w:rPr>
        <w:t>menopauze</w:t>
      </w:r>
      <w:proofErr w:type="spellEnd"/>
      <w:r w:rsidRPr="00D929C5">
        <w:rPr>
          <w:sz w:val="22"/>
          <w:szCs w:val="22"/>
        </w:rPr>
        <w:t xml:space="preserve"> s </w:t>
      </w:r>
      <w:proofErr w:type="spellStart"/>
      <w:r w:rsidRPr="00D929C5">
        <w:rPr>
          <w:sz w:val="22"/>
          <w:szCs w:val="22"/>
        </w:rPr>
        <w:t>operabilným</w:t>
      </w:r>
      <w:proofErr w:type="spellEnd"/>
      <w:r w:rsidRPr="00D929C5">
        <w:rPr>
          <w:sz w:val="22"/>
          <w:szCs w:val="22"/>
        </w:rPr>
        <w:t xml:space="preserve"> karcinómom prsníka, liečených počas 5 rokov (pozri nižšie), mal </w:t>
      </w:r>
      <w:proofErr w:type="spellStart"/>
      <w:r w:rsidRPr="00D929C5">
        <w:rPr>
          <w:sz w:val="22"/>
          <w:szCs w:val="22"/>
        </w:rPr>
        <w:t>anastrozol</w:t>
      </w:r>
      <w:proofErr w:type="spellEnd"/>
      <w:r w:rsidRPr="00D929C5">
        <w:rPr>
          <w:sz w:val="22"/>
          <w:szCs w:val="22"/>
        </w:rPr>
        <w:t xml:space="preserve"> v porovnaní s </w:t>
      </w:r>
      <w:proofErr w:type="spellStart"/>
      <w:r w:rsidRPr="00D929C5">
        <w:rPr>
          <w:sz w:val="22"/>
          <w:szCs w:val="22"/>
        </w:rPr>
        <w:t>tamoxifenom</w:t>
      </w:r>
      <w:proofErr w:type="spellEnd"/>
      <w:r w:rsidRPr="00D929C5">
        <w:rPr>
          <w:sz w:val="22"/>
          <w:szCs w:val="22"/>
        </w:rPr>
        <w:t xml:space="preserve"> štatisticky lepšie výsledky v prežívaní bez ochorenia. U </w:t>
      </w:r>
      <w:proofErr w:type="spellStart"/>
      <w:r w:rsidRPr="00D929C5">
        <w:rPr>
          <w:sz w:val="22"/>
          <w:szCs w:val="22"/>
        </w:rPr>
        <w:t>prospektívne</w:t>
      </w:r>
      <w:proofErr w:type="spellEnd"/>
      <w:r w:rsidRPr="00D929C5">
        <w:rPr>
          <w:sz w:val="22"/>
          <w:szCs w:val="22"/>
        </w:rPr>
        <w:t xml:space="preserve"> definovanej populácie pozitívnej na hormonálne receptory bol prínos </w:t>
      </w:r>
      <w:proofErr w:type="spellStart"/>
      <w:r w:rsidRPr="00D929C5">
        <w:rPr>
          <w:sz w:val="22"/>
          <w:szCs w:val="22"/>
        </w:rPr>
        <w:t>anastrozolu</w:t>
      </w:r>
      <w:proofErr w:type="spellEnd"/>
      <w:r w:rsidRPr="00D929C5">
        <w:rPr>
          <w:sz w:val="22"/>
          <w:szCs w:val="22"/>
        </w:rPr>
        <w:t xml:space="preserve"> v prežívaní bez ochorenia oproti </w:t>
      </w:r>
      <w:proofErr w:type="spellStart"/>
      <w:r w:rsidRPr="00D929C5">
        <w:rPr>
          <w:sz w:val="22"/>
          <w:szCs w:val="22"/>
        </w:rPr>
        <w:t>tamoxifenu</w:t>
      </w:r>
      <w:proofErr w:type="spellEnd"/>
      <w:r w:rsidRPr="00D929C5">
        <w:rPr>
          <w:sz w:val="22"/>
          <w:szCs w:val="22"/>
        </w:rPr>
        <w:t xml:space="preserve"> ešte výraznejší.</w:t>
      </w:r>
    </w:p>
    <w:p w14:paraId="00FC8D13" w14:textId="77777777" w:rsidR="00FC67C3" w:rsidRDefault="00FC67C3">
      <w:pPr>
        <w:autoSpaceDE w:val="0"/>
        <w:autoSpaceDN w:val="0"/>
        <w:adjustRightInd w:val="0"/>
        <w:rPr>
          <w:sz w:val="22"/>
          <w:szCs w:val="22"/>
        </w:rPr>
      </w:pPr>
      <w:r>
        <w:rPr>
          <w:sz w:val="22"/>
          <w:szCs w:val="22"/>
        </w:rPr>
        <w:t xml:space="preserve"> </w:t>
      </w:r>
    </w:p>
    <w:p w14:paraId="73BCBF9B" w14:textId="77777777" w:rsidR="00FC67C3" w:rsidRDefault="00FC67C3">
      <w:pPr>
        <w:autoSpaceDE w:val="0"/>
        <w:autoSpaceDN w:val="0"/>
        <w:adjustRightInd w:val="0"/>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4"/>
      </w:tblGrid>
      <w:tr w:rsidR="003873A8" w14:paraId="0FF55512" w14:textId="77777777">
        <w:tc>
          <w:tcPr>
            <w:tcW w:w="9288" w:type="dxa"/>
          </w:tcPr>
          <w:p w14:paraId="2B0F95DF" w14:textId="77777777" w:rsidR="003873A8" w:rsidRDefault="003873A8">
            <w:pPr>
              <w:autoSpaceDE w:val="0"/>
              <w:autoSpaceDN w:val="0"/>
              <w:adjustRightInd w:val="0"/>
              <w:rPr>
                <w:b/>
                <w:sz w:val="22"/>
                <w:szCs w:val="22"/>
              </w:rPr>
            </w:pPr>
            <w:r w:rsidRPr="00D929C5">
              <w:rPr>
                <w:b/>
                <w:sz w:val="22"/>
                <w:szCs w:val="22"/>
              </w:rPr>
              <w:t>Tabuľka 3</w:t>
            </w:r>
            <w:r w:rsidRPr="00D929C5">
              <w:rPr>
                <w:b/>
                <w:sz w:val="22"/>
                <w:szCs w:val="22"/>
              </w:rPr>
              <w:tab/>
              <w:t>S</w:t>
            </w:r>
            <w:r w:rsidRPr="00D929C5">
              <w:rPr>
                <w:b/>
                <w:bCs/>
                <w:sz w:val="22"/>
                <w:szCs w:val="22"/>
              </w:rPr>
              <w:t>úhrn koncových ukazovateľov zo štúdie ATAC: analýza po ukon</w:t>
            </w:r>
            <w:r>
              <w:rPr>
                <w:b/>
                <w:bCs/>
                <w:sz w:val="22"/>
                <w:szCs w:val="22"/>
              </w:rPr>
              <w:t>č</w:t>
            </w:r>
            <w:r w:rsidRPr="00D929C5">
              <w:rPr>
                <w:b/>
                <w:bCs/>
                <w:sz w:val="22"/>
                <w:szCs w:val="22"/>
              </w:rPr>
              <w:t>ení 5-ročnej liečby</w:t>
            </w:r>
          </w:p>
        </w:tc>
      </w:tr>
    </w:tbl>
    <w:p w14:paraId="51CD4AD6" w14:textId="77777777" w:rsidR="00FC67C3" w:rsidRDefault="00FC67C3">
      <w:pPr>
        <w:autoSpaceDE w:val="0"/>
        <w:autoSpaceDN w:val="0"/>
        <w:adjustRightInd w:val="0"/>
        <w:rPr>
          <w:sz w:val="22"/>
          <w:szCs w:val="22"/>
        </w:rPr>
      </w:pPr>
    </w:p>
    <w:tbl>
      <w:tblPr>
        <w:tblW w:w="8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3"/>
        <w:gridCol w:w="1484"/>
        <w:gridCol w:w="17"/>
        <w:gridCol w:w="1468"/>
        <w:gridCol w:w="1476"/>
        <w:gridCol w:w="14"/>
        <w:gridCol w:w="1462"/>
      </w:tblGrid>
      <w:tr w:rsidR="00FC67C3" w14:paraId="1508CCC9" w14:textId="77777777">
        <w:tc>
          <w:tcPr>
            <w:tcW w:w="2883" w:type="dxa"/>
          </w:tcPr>
          <w:p w14:paraId="4BBCCF87" w14:textId="77777777" w:rsidR="00FC67C3" w:rsidRDefault="00FC67C3">
            <w:pPr>
              <w:pStyle w:val="Textkomentra"/>
              <w:rPr>
                <w:sz w:val="22"/>
              </w:rPr>
            </w:pPr>
            <w:r>
              <w:rPr>
                <w:sz w:val="22"/>
              </w:rPr>
              <w:t>Koncové ukazovatele</w:t>
            </w:r>
          </w:p>
          <w:p w14:paraId="25725B71" w14:textId="77777777" w:rsidR="00FC67C3" w:rsidRDefault="00FC67C3">
            <w:pPr>
              <w:autoSpaceDE w:val="0"/>
              <w:autoSpaceDN w:val="0"/>
              <w:adjustRightInd w:val="0"/>
              <w:rPr>
                <w:sz w:val="22"/>
                <w:szCs w:val="22"/>
              </w:rPr>
            </w:pPr>
            <w:r>
              <w:rPr>
                <w:sz w:val="22"/>
                <w:szCs w:val="22"/>
              </w:rPr>
              <w:t>účinnosti</w:t>
            </w:r>
          </w:p>
        </w:tc>
        <w:tc>
          <w:tcPr>
            <w:tcW w:w="5921" w:type="dxa"/>
            <w:gridSpan w:val="6"/>
          </w:tcPr>
          <w:p w14:paraId="2F2AB905" w14:textId="77777777" w:rsidR="00FC67C3" w:rsidRDefault="00FC67C3" w:rsidP="004207C7">
            <w:pPr>
              <w:autoSpaceDE w:val="0"/>
              <w:autoSpaceDN w:val="0"/>
              <w:adjustRightInd w:val="0"/>
              <w:rPr>
                <w:sz w:val="22"/>
                <w:szCs w:val="22"/>
              </w:rPr>
            </w:pPr>
            <w:r>
              <w:rPr>
                <w:sz w:val="22"/>
                <w:szCs w:val="22"/>
              </w:rPr>
              <w:t xml:space="preserve">Počet </w:t>
            </w:r>
            <w:r w:rsidR="004207C7">
              <w:rPr>
                <w:sz w:val="22"/>
                <w:szCs w:val="22"/>
              </w:rPr>
              <w:t>udalostí</w:t>
            </w:r>
            <w:r>
              <w:rPr>
                <w:sz w:val="22"/>
                <w:szCs w:val="22"/>
              </w:rPr>
              <w:t xml:space="preserve"> (frekvencia)</w:t>
            </w:r>
          </w:p>
        </w:tc>
      </w:tr>
      <w:tr w:rsidR="00FC67C3" w14:paraId="1AF595A2" w14:textId="77777777">
        <w:tc>
          <w:tcPr>
            <w:tcW w:w="2883" w:type="dxa"/>
          </w:tcPr>
          <w:p w14:paraId="0DA4F7F1" w14:textId="77777777" w:rsidR="00FC67C3" w:rsidRDefault="00FC67C3">
            <w:pPr>
              <w:autoSpaceDE w:val="0"/>
              <w:autoSpaceDN w:val="0"/>
              <w:adjustRightInd w:val="0"/>
              <w:rPr>
                <w:sz w:val="22"/>
                <w:szCs w:val="22"/>
              </w:rPr>
            </w:pPr>
          </w:p>
        </w:tc>
        <w:tc>
          <w:tcPr>
            <w:tcW w:w="2969" w:type="dxa"/>
            <w:gridSpan w:val="3"/>
          </w:tcPr>
          <w:p w14:paraId="0CC87F84" w14:textId="77777777" w:rsidR="00FC67C3" w:rsidRDefault="004207C7" w:rsidP="004207C7">
            <w:pPr>
              <w:autoSpaceDE w:val="0"/>
              <w:autoSpaceDN w:val="0"/>
              <w:adjustRightInd w:val="0"/>
              <w:rPr>
                <w:sz w:val="22"/>
                <w:szCs w:val="22"/>
              </w:rPr>
            </w:pPr>
            <w:r>
              <w:rPr>
                <w:sz w:val="22"/>
                <w:szCs w:val="22"/>
              </w:rPr>
              <w:t>Celá populácia (</w:t>
            </w:r>
            <w:proofErr w:type="spellStart"/>
            <w:r>
              <w:rPr>
                <w:sz w:val="22"/>
                <w:szCs w:val="22"/>
              </w:rPr>
              <w:t>Intention</w:t>
            </w:r>
            <w:proofErr w:type="spellEnd"/>
            <w:r>
              <w:rPr>
                <w:sz w:val="22"/>
                <w:szCs w:val="22"/>
              </w:rPr>
              <w:t xml:space="preserve"> to </w:t>
            </w:r>
            <w:proofErr w:type="spellStart"/>
            <w:r>
              <w:rPr>
                <w:sz w:val="22"/>
                <w:szCs w:val="22"/>
              </w:rPr>
              <w:t>treat</w:t>
            </w:r>
            <w:proofErr w:type="spellEnd"/>
            <w:r>
              <w:rPr>
                <w:sz w:val="22"/>
                <w:szCs w:val="22"/>
              </w:rPr>
              <w:t xml:space="preserve"> </w:t>
            </w:r>
            <w:proofErr w:type="spellStart"/>
            <w:r>
              <w:rPr>
                <w:sz w:val="22"/>
                <w:szCs w:val="22"/>
              </w:rPr>
              <w:t>population</w:t>
            </w:r>
            <w:proofErr w:type="spellEnd"/>
            <w:r>
              <w:rPr>
                <w:sz w:val="22"/>
                <w:szCs w:val="22"/>
              </w:rPr>
              <w:t>)</w:t>
            </w:r>
          </w:p>
        </w:tc>
        <w:tc>
          <w:tcPr>
            <w:tcW w:w="2952" w:type="dxa"/>
            <w:gridSpan w:val="3"/>
          </w:tcPr>
          <w:p w14:paraId="02D0AFD1" w14:textId="77777777" w:rsidR="00FC67C3" w:rsidRDefault="004207C7" w:rsidP="004207C7">
            <w:pPr>
              <w:autoSpaceDE w:val="0"/>
              <w:autoSpaceDN w:val="0"/>
              <w:adjustRightInd w:val="0"/>
              <w:rPr>
                <w:sz w:val="22"/>
                <w:szCs w:val="22"/>
              </w:rPr>
            </w:pPr>
            <w:r>
              <w:rPr>
                <w:sz w:val="22"/>
                <w:szCs w:val="22"/>
              </w:rPr>
              <w:t xml:space="preserve">Nádor pozitívny na </w:t>
            </w:r>
            <w:proofErr w:type="spellStart"/>
            <w:r>
              <w:rPr>
                <w:sz w:val="22"/>
                <w:szCs w:val="22"/>
              </w:rPr>
              <w:t>estrogénové</w:t>
            </w:r>
            <w:proofErr w:type="spellEnd"/>
            <w:r>
              <w:rPr>
                <w:sz w:val="22"/>
                <w:szCs w:val="22"/>
              </w:rPr>
              <w:t xml:space="preserve"> receptory</w:t>
            </w:r>
          </w:p>
        </w:tc>
      </w:tr>
      <w:tr w:rsidR="00FC67C3" w14:paraId="362C48CA" w14:textId="77777777">
        <w:tc>
          <w:tcPr>
            <w:tcW w:w="2883" w:type="dxa"/>
          </w:tcPr>
          <w:p w14:paraId="5A7A1DE0" w14:textId="77777777" w:rsidR="00FC67C3" w:rsidRDefault="00FC67C3">
            <w:pPr>
              <w:autoSpaceDE w:val="0"/>
              <w:autoSpaceDN w:val="0"/>
              <w:adjustRightInd w:val="0"/>
              <w:rPr>
                <w:sz w:val="22"/>
                <w:szCs w:val="22"/>
              </w:rPr>
            </w:pPr>
          </w:p>
        </w:tc>
        <w:tc>
          <w:tcPr>
            <w:tcW w:w="1501" w:type="dxa"/>
            <w:gridSpan w:val="2"/>
          </w:tcPr>
          <w:p w14:paraId="19D909CC" w14:textId="77777777" w:rsidR="00FC67C3" w:rsidRDefault="00FC67C3">
            <w:pPr>
              <w:autoSpaceDE w:val="0"/>
              <w:autoSpaceDN w:val="0"/>
              <w:adjustRightInd w:val="0"/>
              <w:rPr>
                <w:sz w:val="22"/>
                <w:szCs w:val="22"/>
              </w:rPr>
            </w:pPr>
            <w:proofErr w:type="spellStart"/>
            <w:r>
              <w:rPr>
                <w:sz w:val="22"/>
                <w:szCs w:val="22"/>
              </w:rPr>
              <w:t>anastrozol</w:t>
            </w:r>
            <w:proofErr w:type="spellEnd"/>
          </w:p>
          <w:p w14:paraId="36598E68" w14:textId="77777777" w:rsidR="00FC67C3" w:rsidRDefault="00FC67C3">
            <w:pPr>
              <w:autoSpaceDE w:val="0"/>
              <w:autoSpaceDN w:val="0"/>
              <w:adjustRightInd w:val="0"/>
              <w:rPr>
                <w:sz w:val="22"/>
                <w:szCs w:val="22"/>
              </w:rPr>
            </w:pPr>
            <w:r>
              <w:rPr>
                <w:sz w:val="22"/>
                <w:szCs w:val="22"/>
              </w:rPr>
              <w:t>(n=3125)</w:t>
            </w:r>
          </w:p>
        </w:tc>
        <w:tc>
          <w:tcPr>
            <w:tcW w:w="1468" w:type="dxa"/>
          </w:tcPr>
          <w:p w14:paraId="24B90792" w14:textId="77777777" w:rsidR="00FC67C3" w:rsidRDefault="00FC67C3">
            <w:pPr>
              <w:autoSpaceDE w:val="0"/>
              <w:autoSpaceDN w:val="0"/>
              <w:adjustRightInd w:val="0"/>
              <w:rPr>
                <w:sz w:val="22"/>
                <w:szCs w:val="22"/>
              </w:rPr>
            </w:pPr>
            <w:proofErr w:type="spellStart"/>
            <w:r>
              <w:rPr>
                <w:sz w:val="22"/>
                <w:szCs w:val="22"/>
              </w:rPr>
              <w:t>tamoxifén</w:t>
            </w:r>
            <w:proofErr w:type="spellEnd"/>
          </w:p>
          <w:p w14:paraId="69643312" w14:textId="77777777" w:rsidR="00FC67C3" w:rsidRDefault="00FC67C3">
            <w:pPr>
              <w:autoSpaceDE w:val="0"/>
              <w:autoSpaceDN w:val="0"/>
              <w:adjustRightInd w:val="0"/>
              <w:rPr>
                <w:sz w:val="22"/>
                <w:szCs w:val="22"/>
              </w:rPr>
            </w:pPr>
            <w:r>
              <w:rPr>
                <w:sz w:val="22"/>
                <w:szCs w:val="22"/>
              </w:rPr>
              <w:t>(n=3116)</w:t>
            </w:r>
          </w:p>
        </w:tc>
        <w:tc>
          <w:tcPr>
            <w:tcW w:w="1490" w:type="dxa"/>
            <w:gridSpan w:val="2"/>
          </w:tcPr>
          <w:p w14:paraId="44081ADF" w14:textId="77777777" w:rsidR="00FC67C3" w:rsidRDefault="00FC67C3">
            <w:pPr>
              <w:autoSpaceDE w:val="0"/>
              <w:autoSpaceDN w:val="0"/>
              <w:adjustRightInd w:val="0"/>
              <w:rPr>
                <w:sz w:val="22"/>
                <w:szCs w:val="22"/>
              </w:rPr>
            </w:pPr>
            <w:proofErr w:type="spellStart"/>
            <w:r>
              <w:rPr>
                <w:sz w:val="22"/>
                <w:szCs w:val="22"/>
              </w:rPr>
              <w:t>anastrozol</w:t>
            </w:r>
            <w:proofErr w:type="spellEnd"/>
            <w:r>
              <w:rPr>
                <w:sz w:val="22"/>
                <w:szCs w:val="22"/>
              </w:rPr>
              <w:t xml:space="preserve"> </w:t>
            </w:r>
          </w:p>
          <w:p w14:paraId="05FBB4FB" w14:textId="77777777" w:rsidR="00FC67C3" w:rsidRDefault="00FC67C3">
            <w:pPr>
              <w:autoSpaceDE w:val="0"/>
              <w:autoSpaceDN w:val="0"/>
              <w:adjustRightInd w:val="0"/>
              <w:rPr>
                <w:sz w:val="22"/>
                <w:szCs w:val="22"/>
              </w:rPr>
            </w:pPr>
            <w:r>
              <w:rPr>
                <w:sz w:val="22"/>
                <w:szCs w:val="22"/>
              </w:rPr>
              <w:t>(n=2618)</w:t>
            </w:r>
          </w:p>
        </w:tc>
        <w:tc>
          <w:tcPr>
            <w:tcW w:w="1462" w:type="dxa"/>
          </w:tcPr>
          <w:p w14:paraId="245ABE1A" w14:textId="77777777" w:rsidR="00FC67C3" w:rsidRDefault="00FC67C3">
            <w:pPr>
              <w:autoSpaceDE w:val="0"/>
              <w:autoSpaceDN w:val="0"/>
              <w:adjustRightInd w:val="0"/>
              <w:rPr>
                <w:sz w:val="22"/>
                <w:szCs w:val="22"/>
              </w:rPr>
            </w:pPr>
            <w:proofErr w:type="spellStart"/>
            <w:r>
              <w:rPr>
                <w:sz w:val="22"/>
                <w:szCs w:val="22"/>
              </w:rPr>
              <w:t>tamoxifén</w:t>
            </w:r>
            <w:proofErr w:type="spellEnd"/>
          </w:p>
          <w:p w14:paraId="483BB8C5" w14:textId="77777777" w:rsidR="00FC67C3" w:rsidRDefault="00FC67C3">
            <w:pPr>
              <w:autoSpaceDE w:val="0"/>
              <w:autoSpaceDN w:val="0"/>
              <w:adjustRightInd w:val="0"/>
              <w:rPr>
                <w:sz w:val="22"/>
                <w:szCs w:val="22"/>
              </w:rPr>
            </w:pPr>
            <w:r>
              <w:rPr>
                <w:sz w:val="22"/>
                <w:szCs w:val="22"/>
              </w:rPr>
              <w:t>(n=2598)</w:t>
            </w:r>
          </w:p>
        </w:tc>
      </w:tr>
      <w:tr w:rsidR="00FC67C3" w14:paraId="1701F51C" w14:textId="77777777">
        <w:tc>
          <w:tcPr>
            <w:tcW w:w="2883" w:type="dxa"/>
          </w:tcPr>
          <w:p w14:paraId="5BF14473" w14:textId="77777777" w:rsidR="00FC67C3" w:rsidRDefault="00FC67C3" w:rsidP="004207C7">
            <w:pPr>
              <w:autoSpaceDE w:val="0"/>
              <w:autoSpaceDN w:val="0"/>
              <w:adjustRightInd w:val="0"/>
              <w:rPr>
                <w:sz w:val="22"/>
                <w:szCs w:val="22"/>
              </w:rPr>
            </w:pPr>
            <w:r>
              <w:rPr>
                <w:sz w:val="22"/>
                <w:szCs w:val="22"/>
              </w:rPr>
              <w:t xml:space="preserve">Prežívanie bez </w:t>
            </w:r>
            <w:proofErr w:type="spellStart"/>
            <w:r>
              <w:rPr>
                <w:sz w:val="22"/>
                <w:szCs w:val="22"/>
              </w:rPr>
              <w:t>ochorenia</w:t>
            </w:r>
            <w:r>
              <w:rPr>
                <w:sz w:val="22"/>
                <w:szCs w:val="22"/>
                <w:vertAlign w:val="superscript"/>
              </w:rPr>
              <w:t>a</w:t>
            </w:r>
            <w:proofErr w:type="spellEnd"/>
          </w:p>
        </w:tc>
        <w:tc>
          <w:tcPr>
            <w:tcW w:w="1501" w:type="dxa"/>
            <w:gridSpan w:val="2"/>
          </w:tcPr>
          <w:p w14:paraId="51DBCC2A" w14:textId="77777777" w:rsidR="00FC67C3" w:rsidRDefault="00FC67C3">
            <w:pPr>
              <w:autoSpaceDE w:val="0"/>
              <w:autoSpaceDN w:val="0"/>
              <w:adjustRightInd w:val="0"/>
              <w:rPr>
                <w:sz w:val="22"/>
                <w:szCs w:val="22"/>
              </w:rPr>
            </w:pPr>
            <w:r>
              <w:rPr>
                <w:sz w:val="22"/>
                <w:szCs w:val="22"/>
              </w:rPr>
              <w:t>575 (18,4)</w:t>
            </w:r>
          </w:p>
        </w:tc>
        <w:tc>
          <w:tcPr>
            <w:tcW w:w="1468" w:type="dxa"/>
          </w:tcPr>
          <w:p w14:paraId="78343FAC" w14:textId="77777777" w:rsidR="00FC67C3" w:rsidRDefault="00FC67C3">
            <w:pPr>
              <w:autoSpaceDE w:val="0"/>
              <w:autoSpaceDN w:val="0"/>
              <w:adjustRightInd w:val="0"/>
              <w:ind w:left="-30"/>
              <w:rPr>
                <w:sz w:val="22"/>
                <w:szCs w:val="22"/>
              </w:rPr>
            </w:pPr>
            <w:r>
              <w:rPr>
                <w:sz w:val="22"/>
                <w:szCs w:val="22"/>
              </w:rPr>
              <w:t>651 (20,9)</w:t>
            </w:r>
          </w:p>
        </w:tc>
        <w:tc>
          <w:tcPr>
            <w:tcW w:w="1476" w:type="dxa"/>
          </w:tcPr>
          <w:p w14:paraId="077B9037" w14:textId="77777777" w:rsidR="00FC67C3" w:rsidRDefault="00FC67C3">
            <w:pPr>
              <w:autoSpaceDE w:val="0"/>
              <w:autoSpaceDN w:val="0"/>
              <w:adjustRightInd w:val="0"/>
              <w:rPr>
                <w:sz w:val="22"/>
                <w:szCs w:val="22"/>
              </w:rPr>
            </w:pPr>
            <w:r>
              <w:rPr>
                <w:sz w:val="22"/>
                <w:szCs w:val="22"/>
              </w:rPr>
              <w:t>424 (16,2)</w:t>
            </w:r>
          </w:p>
        </w:tc>
        <w:tc>
          <w:tcPr>
            <w:tcW w:w="1476" w:type="dxa"/>
            <w:gridSpan w:val="2"/>
          </w:tcPr>
          <w:p w14:paraId="2A5842A8" w14:textId="77777777" w:rsidR="00FC67C3" w:rsidRDefault="00FC67C3">
            <w:pPr>
              <w:autoSpaceDE w:val="0"/>
              <w:autoSpaceDN w:val="0"/>
              <w:adjustRightInd w:val="0"/>
              <w:rPr>
                <w:sz w:val="22"/>
                <w:szCs w:val="22"/>
              </w:rPr>
            </w:pPr>
            <w:r>
              <w:rPr>
                <w:sz w:val="22"/>
                <w:szCs w:val="22"/>
              </w:rPr>
              <w:t>497 (19,1)</w:t>
            </w:r>
          </w:p>
        </w:tc>
      </w:tr>
      <w:tr w:rsidR="00FC67C3" w14:paraId="1A0CA8D4" w14:textId="77777777">
        <w:tc>
          <w:tcPr>
            <w:tcW w:w="2883" w:type="dxa"/>
          </w:tcPr>
          <w:p w14:paraId="4124F0FD" w14:textId="77777777" w:rsidR="00FC67C3" w:rsidRDefault="00FC67C3" w:rsidP="004207C7">
            <w:pPr>
              <w:autoSpaceDE w:val="0"/>
              <w:autoSpaceDN w:val="0"/>
              <w:adjustRightInd w:val="0"/>
              <w:rPr>
                <w:sz w:val="22"/>
                <w:szCs w:val="22"/>
              </w:rPr>
            </w:pPr>
            <w:r>
              <w:rPr>
                <w:sz w:val="22"/>
                <w:szCs w:val="22"/>
              </w:rPr>
              <w:t xml:space="preserve">Pomer </w:t>
            </w:r>
            <w:proofErr w:type="spellStart"/>
            <w:r>
              <w:rPr>
                <w:sz w:val="22"/>
                <w:szCs w:val="22"/>
              </w:rPr>
              <w:t>riz</w:t>
            </w:r>
            <w:r w:rsidR="004207C7">
              <w:rPr>
                <w:sz w:val="22"/>
                <w:szCs w:val="22"/>
              </w:rPr>
              <w:t>ik</w:t>
            </w:r>
            <w:proofErr w:type="spellEnd"/>
          </w:p>
        </w:tc>
        <w:tc>
          <w:tcPr>
            <w:tcW w:w="2969" w:type="dxa"/>
            <w:gridSpan w:val="3"/>
          </w:tcPr>
          <w:p w14:paraId="413DEE21" w14:textId="77777777" w:rsidR="00FC67C3" w:rsidRDefault="00FC67C3">
            <w:pPr>
              <w:autoSpaceDE w:val="0"/>
              <w:autoSpaceDN w:val="0"/>
              <w:adjustRightInd w:val="0"/>
              <w:rPr>
                <w:sz w:val="22"/>
                <w:szCs w:val="22"/>
              </w:rPr>
            </w:pPr>
            <w:r>
              <w:rPr>
                <w:sz w:val="22"/>
                <w:szCs w:val="22"/>
              </w:rPr>
              <w:t>0,87</w:t>
            </w:r>
          </w:p>
        </w:tc>
        <w:tc>
          <w:tcPr>
            <w:tcW w:w="2952" w:type="dxa"/>
            <w:gridSpan w:val="3"/>
          </w:tcPr>
          <w:p w14:paraId="7FE5481E" w14:textId="77777777" w:rsidR="00FC67C3" w:rsidRDefault="00FC67C3">
            <w:pPr>
              <w:autoSpaceDE w:val="0"/>
              <w:autoSpaceDN w:val="0"/>
              <w:adjustRightInd w:val="0"/>
              <w:rPr>
                <w:sz w:val="22"/>
                <w:szCs w:val="22"/>
              </w:rPr>
            </w:pPr>
            <w:r>
              <w:rPr>
                <w:sz w:val="22"/>
                <w:szCs w:val="22"/>
              </w:rPr>
              <w:t>0,83</w:t>
            </w:r>
          </w:p>
        </w:tc>
      </w:tr>
      <w:tr w:rsidR="00FC67C3" w14:paraId="7B35EA8E" w14:textId="77777777">
        <w:tc>
          <w:tcPr>
            <w:tcW w:w="2883" w:type="dxa"/>
          </w:tcPr>
          <w:p w14:paraId="72B57F4A" w14:textId="77777777" w:rsidR="00FC67C3" w:rsidRDefault="004207C7" w:rsidP="004207C7">
            <w:pPr>
              <w:autoSpaceDE w:val="0"/>
              <w:autoSpaceDN w:val="0"/>
              <w:adjustRightInd w:val="0"/>
              <w:rPr>
                <w:sz w:val="22"/>
                <w:szCs w:val="22"/>
              </w:rPr>
            </w:pPr>
            <w:r>
              <w:rPr>
                <w:sz w:val="22"/>
                <w:szCs w:val="22"/>
              </w:rPr>
              <w:t>Oboj</w:t>
            </w:r>
            <w:r w:rsidR="00FC67C3">
              <w:rPr>
                <w:sz w:val="22"/>
                <w:szCs w:val="22"/>
              </w:rPr>
              <w:t>stranný 95</w:t>
            </w:r>
            <w:r>
              <w:rPr>
                <w:sz w:val="22"/>
                <w:szCs w:val="22"/>
              </w:rPr>
              <w:t xml:space="preserve"> </w:t>
            </w:r>
            <w:r w:rsidR="00FC67C3">
              <w:rPr>
                <w:sz w:val="22"/>
                <w:szCs w:val="22"/>
              </w:rPr>
              <w:t>% CI</w:t>
            </w:r>
          </w:p>
        </w:tc>
        <w:tc>
          <w:tcPr>
            <w:tcW w:w="2969" w:type="dxa"/>
            <w:gridSpan w:val="3"/>
          </w:tcPr>
          <w:p w14:paraId="37E13584" w14:textId="77777777" w:rsidR="00FC67C3" w:rsidRDefault="00FC67C3">
            <w:pPr>
              <w:autoSpaceDE w:val="0"/>
              <w:autoSpaceDN w:val="0"/>
              <w:adjustRightInd w:val="0"/>
              <w:rPr>
                <w:sz w:val="22"/>
                <w:szCs w:val="22"/>
              </w:rPr>
            </w:pPr>
            <w:r>
              <w:rPr>
                <w:sz w:val="22"/>
                <w:szCs w:val="22"/>
              </w:rPr>
              <w:t>0,78 až 0,97</w:t>
            </w:r>
          </w:p>
        </w:tc>
        <w:tc>
          <w:tcPr>
            <w:tcW w:w="2952" w:type="dxa"/>
            <w:gridSpan w:val="3"/>
          </w:tcPr>
          <w:p w14:paraId="55CED7B4" w14:textId="77777777" w:rsidR="00FC67C3" w:rsidRDefault="00FC67C3">
            <w:pPr>
              <w:autoSpaceDE w:val="0"/>
              <w:autoSpaceDN w:val="0"/>
              <w:adjustRightInd w:val="0"/>
              <w:rPr>
                <w:sz w:val="22"/>
                <w:szCs w:val="22"/>
              </w:rPr>
            </w:pPr>
            <w:r>
              <w:rPr>
                <w:sz w:val="22"/>
                <w:szCs w:val="22"/>
              </w:rPr>
              <w:t>0,73 až  0,94</w:t>
            </w:r>
          </w:p>
        </w:tc>
      </w:tr>
      <w:tr w:rsidR="00FC67C3" w14:paraId="0092BAAE" w14:textId="77777777">
        <w:tc>
          <w:tcPr>
            <w:tcW w:w="2883" w:type="dxa"/>
          </w:tcPr>
          <w:p w14:paraId="5E744571" w14:textId="77777777" w:rsidR="00FC67C3" w:rsidRDefault="00FC67C3">
            <w:pPr>
              <w:autoSpaceDE w:val="0"/>
              <w:autoSpaceDN w:val="0"/>
              <w:adjustRightInd w:val="0"/>
              <w:rPr>
                <w:sz w:val="22"/>
                <w:szCs w:val="22"/>
              </w:rPr>
            </w:pPr>
            <w:r>
              <w:rPr>
                <w:sz w:val="22"/>
                <w:szCs w:val="22"/>
              </w:rPr>
              <w:t>Hodnota p</w:t>
            </w:r>
          </w:p>
        </w:tc>
        <w:tc>
          <w:tcPr>
            <w:tcW w:w="2969" w:type="dxa"/>
            <w:gridSpan w:val="3"/>
          </w:tcPr>
          <w:p w14:paraId="2D98E3A2" w14:textId="77777777" w:rsidR="00FC67C3" w:rsidRDefault="00FC67C3">
            <w:pPr>
              <w:autoSpaceDE w:val="0"/>
              <w:autoSpaceDN w:val="0"/>
              <w:adjustRightInd w:val="0"/>
              <w:rPr>
                <w:sz w:val="22"/>
                <w:szCs w:val="22"/>
              </w:rPr>
            </w:pPr>
            <w:r>
              <w:rPr>
                <w:sz w:val="22"/>
                <w:szCs w:val="22"/>
              </w:rPr>
              <w:t>0,0127</w:t>
            </w:r>
          </w:p>
        </w:tc>
        <w:tc>
          <w:tcPr>
            <w:tcW w:w="2952" w:type="dxa"/>
            <w:gridSpan w:val="3"/>
          </w:tcPr>
          <w:p w14:paraId="5D6180B0" w14:textId="77777777" w:rsidR="00FC67C3" w:rsidRDefault="00FC67C3">
            <w:pPr>
              <w:autoSpaceDE w:val="0"/>
              <w:autoSpaceDN w:val="0"/>
              <w:adjustRightInd w:val="0"/>
              <w:rPr>
                <w:sz w:val="22"/>
                <w:szCs w:val="22"/>
              </w:rPr>
            </w:pPr>
            <w:r>
              <w:rPr>
                <w:sz w:val="22"/>
                <w:szCs w:val="22"/>
              </w:rPr>
              <w:t>0,0049</w:t>
            </w:r>
          </w:p>
        </w:tc>
      </w:tr>
      <w:tr w:rsidR="00FC67C3" w14:paraId="5193C0B6" w14:textId="77777777">
        <w:tc>
          <w:tcPr>
            <w:tcW w:w="2883" w:type="dxa"/>
          </w:tcPr>
          <w:p w14:paraId="1810576A" w14:textId="77777777" w:rsidR="00FC67C3" w:rsidRDefault="004207C7" w:rsidP="004207C7">
            <w:pPr>
              <w:autoSpaceDE w:val="0"/>
              <w:autoSpaceDN w:val="0"/>
              <w:adjustRightInd w:val="0"/>
              <w:rPr>
                <w:sz w:val="22"/>
                <w:szCs w:val="22"/>
              </w:rPr>
            </w:pPr>
            <w:r>
              <w:rPr>
                <w:sz w:val="22"/>
                <w:szCs w:val="22"/>
              </w:rPr>
              <w:t>Prežívanie bez v</w:t>
            </w:r>
            <w:r w:rsidR="00FC67C3">
              <w:rPr>
                <w:sz w:val="22"/>
                <w:szCs w:val="22"/>
              </w:rPr>
              <w:t>zdialené</w:t>
            </w:r>
            <w:r>
              <w:rPr>
                <w:sz w:val="22"/>
                <w:szCs w:val="22"/>
              </w:rPr>
              <w:t>ho</w:t>
            </w:r>
            <w:r w:rsidR="00FC67C3">
              <w:rPr>
                <w:sz w:val="22"/>
                <w:szCs w:val="22"/>
              </w:rPr>
              <w:t xml:space="preserve"> </w:t>
            </w:r>
            <w:proofErr w:type="spellStart"/>
            <w:r w:rsidR="00FC67C3">
              <w:rPr>
                <w:sz w:val="22"/>
                <w:szCs w:val="22"/>
              </w:rPr>
              <w:t>ochorenia</w:t>
            </w:r>
            <w:r w:rsidR="00FC67C3">
              <w:rPr>
                <w:sz w:val="22"/>
                <w:szCs w:val="22"/>
                <w:vertAlign w:val="superscript"/>
              </w:rPr>
              <w:t>b</w:t>
            </w:r>
            <w:proofErr w:type="spellEnd"/>
          </w:p>
        </w:tc>
        <w:tc>
          <w:tcPr>
            <w:tcW w:w="1484" w:type="dxa"/>
          </w:tcPr>
          <w:p w14:paraId="45F64BCF" w14:textId="77777777" w:rsidR="00FC67C3" w:rsidRDefault="00FC67C3">
            <w:pPr>
              <w:autoSpaceDE w:val="0"/>
              <w:autoSpaceDN w:val="0"/>
              <w:adjustRightInd w:val="0"/>
              <w:rPr>
                <w:sz w:val="22"/>
                <w:szCs w:val="22"/>
              </w:rPr>
            </w:pPr>
            <w:r>
              <w:rPr>
                <w:sz w:val="22"/>
                <w:szCs w:val="22"/>
              </w:rPr>
              <w:t>500 (16,0)</w:t>
            </w:r>
          </w:p>
        </w:tc>
        <w:tc>
          <w:tcPr>
            <w:tcW w:w="1485" w:type="dxa"/>
            <w:gridSpan w:val="2"/>
          </w:tcPr>
          <w:p w14:paraId="14C7226D" w14:textId="77777777" w:rsidR="00FC67C3" w:rsidRDefault="00FC67C3">
            <w:pPr>
              <w:autoSpaceDE w:val="0"/>
              <w:autoSpaceDN w:val="0"/>
              <w:adjustRightInd w:val="0"/>
              <w:rPr>
                <w:sz w:val="22"/>
                <w:szCs w:val="22"/>
              </w:rPr>
            </w:pPr>
            <w:r>
              <w:rPr>
                <w:sz w:val="22"/>
                <w:szCs w:val="22"/>
              </w:rPr>
              <w:t>530 (17,0)</w:t>
            </w:r>
          </w:p>
        </w:tc>
        <w:tc>
          <w:tcPr>
            <w:tcW w:w="1476" w:type="dxa"/>
          </w:tcPr>
          <w:p w14:paraId="36805FB4" w14:textId="77777777" w:rsidR="00FC67C3" w:rsidRDefault="00FC67C3">
            <w:pPr>
              <w:autoSpaceDE w:val="0"/>
              <w:autoSpaceDN w:val="0"/>
              <w:adjustRightInd w:val="0"/>
              <w:rPr>
                <w:sz w:val="22"/>
                <w:szCs w:val="22"/>
              </w:rPr>
            </w:pPr>
            <w:r>
              <w:rPr>
                <w:sz w:val="22"/>
                <w:szCs w:val="22"/>
              </w:rPr>
              <w:t>370 (14,1)</w:t>
            </w:r>
          </w:p>
        </w:tc>
        <w:tc>
          <w:tcPr>
            <w:tcW w:w="1476" w:type="dxa"/>
            <w:gridSpan w:val="2"/>
          </w:tcPr>
          <w:p w14:paraId="75E44764" w14:textId="77777777" w:rsidR="00FC67C3" w:rsidRDefault="00FC67C3">
            <w:pPr>
              <w:autoSpaceDE w:val="0"/>
              <w:autoSpaceDN w:val="0"/>
              <w:adjustRightInd w:val="0"/>
              <w:rPr>
                <w:sz w:val="22"/>
                <w:szCs w:val="22"/>
              </w:rPr>
            </w:pPr>
            <w:r>
              <w:rPr>
                <w:sz w:val="22"/>
                <w:szCs w:val="22"/>
              </w:rPr>
              <w:t>394 (15,2)</w:t>
            </w:r>
          </w:p>
        </w:tc>
      </w:tr>
      <w:tr w:rsidR="00FC67C3" w14:paraId="49155E26" w14:textId="77777777">
        <w:tc>
          <w:tcPr>
            <w:tcW w:w="2883" w:type="dxa"/>
          </w:tcPr>
          <w:p w14:paraId="2C54E9D9" w14:textId="77777777" w:rsidR="00FC67C3" w:rsidRDefault="00FC67C3" w:rsidP="004207C7">
            <w:pPr>
              <w:autoSpaceDE w:val="0"/>
              <w:autoSpaceDN w:val="0"/>
              <w:adjustRightInd w:val="0"/>
              <w:rPr>
                <w:sz w:val="22"/>
                <w:szCs w:val="22"/>
              </w:rPr>
            </w:pPr>
            <w:r>
              <w:rPr>
                <w:sz w:val="22"/>
                <w:szCs w:val="22"/>
              </w:rPr>
              <w:t>Pomer riz</w:t>
            </w:r>
            <w:r w:rsidR="004207C7">
              <w:rPr>
                <w:sz w:val="22"/>
                <w:szCs w:val="22"/>
              </w:rPr>
              <w:t>ika</w:t>
            </w:r>
          </w:p>
        </w:tc>
        <w:tc>
          <w:tcPr>
            <w:tcW w:w="2969" w:type="dxa"/>
            <w:gridSpan w:val="3"/>
          </w:tcPr>
          <w:p w14:paraId="509BFA9B" w14:textId="77777777" w:rsidR="00FC67C3" w:rsidRDefault="00FC67C3">
            <w:pPr>
              <w:autoSpaceDE w:val="0"/>
              <w:autoSpaceDN w:val="0"/>
              <w:adjustRightInd w:val="0"/>
              <w:rPr>
                <w:sz w:val="22"/>
                <w:szCs w:val="22"/>
              </w:rPr>
            </w:pPr>
            <w:r>
              <w:rPr>
                <w:sz w:val="22"/>
                <w:szCs w:val="22"/>
              </w:rPr>
              <w:t>0,94</w:t>
            </w:r>
          </w:p>
        </w:tc>
        <w:tc>
          <w:tcPr>
            <w:tcW w:w="2952" w:type="dxa"/>
            <w:gridSpan w:val="3"/>
          </w:tcPr>
          <w:p w14:paraId="0AE9DECF" w14:textId="77777777" w:rsidR="00FC67C3" w:rsidRDefault="00FC67C3">
            <w:pPr>
              <w:autoSpaceDE w:val="0"/>
              <w:autoSpaceDN w:val="0"/>
              <w:adjustRightInd w:val="0"/>
              <w:rPr>
                <w:sz w:val="22"/>
                <w:szCs w:val="22"/>
              </w:rPr>
            </w:pPr>
            <w:r>
              <w:rPr>
                <w:sz w:val="22"/>
                <w:szCs w:val="22"/>
              </w:rPr>
              <w:t>0,93</w:t>
            </w:r>
          </w:p>
        </w:tc>
      </w:tr>
      <w:tr w:rsidR="00FC67C3" w14:paraId="1998516E" w14:textId="77777777">
        <w:tc>
          <w:tcPr>
            <w:tcW w:w="2883" w:type="dxa"/>
          </w:tcPr>
          <w:p w14:paraId="53C9C56D" w14:textId="77777777" w:rsidR="00FC67C3" w:rsidRDefault="004207C7" w:rsidP="004207C7">
            <w:pPr>
              <w:autoSpaceDE w:val="0"/>
              <w:autoSpaceDN w:val="0"/>
              <w:adjustRightInd w:val="0"/>
              <w:rPr>
                <w:sz w:val="22"/>
                <w:szCs w:val="22"/>
              </w:rPr>
            </w:pPr>
            <w:r>
              <w:rPr>
                <w:sz w:val="22"/>
                <w:szCs w:val="22"/>
              </w:rPr>
              <w:t>Oboj</w:t>
            </w:r>
            <w:r w:rsidR="00FC67C3">
              <w:rPr>
                <w:sz w:val="22"/>
                <w:szCs w:val="22"/>
              </w:rPr>
              <w:t>stranný 95</w:t>
            </w:r>
            <w:r>
              <w:rPr>
                <w:sz w:val="22"/>
                <w:szCs w:val="22"/>
              </w:rPr>
              <w:t xml:space="preserve"> </w:t>
            </w:r>
            <w:r w:rsidR="00FC67C3">
              <w:rPr>
                <w:sz w:val="22"/>
                <w:szCs w:val="22"/>
              </w:rPr>
              <w:t>% CI</w:t>
            </w:r>
          </w:p>
        </w:tc>
        <w:tc>
          <w:tcPr>
            <w:tcW w:w="2969" w:type="dxa"/>
            <w:gridSpan w:val="3"/>
          </w:tcPr>
          <w:p w14:paraId="7EA7B678" w14:textId="77777777" w:rsidR="00FC67C3" w:rsidRDefault="00FC67C3">
            <w:pPr>
              <w:autoSpaceDE w:val="0"/>
              <w:autoSpaceDN w:val="0"/>
              <w:adjustRightInd w:val="0"/>
              <w:rPr>
                <w:sz w:val="22"/>
                <w:szCs w:val="22"/>
              </w:rPr>
            </w:pPr>
            <w:r>
              <w:rPr>
                <w:sz w:val="22"/>
                <w:szCs w:val="22"/>
              </w:rPr>
              <w:t>0,83 až 1,06</w:t>
            </w:r>
          </w:p>
        </w:tc>
        <w:tc>
          <w:tcPr>
            <w:tcW w:w="2952" w:type="dxa"/>
            <w:gridSpan w:val="3"/>
          </w:tcPr>
          <w:p w14:paraId="03100B90" w14:textId="77777777" w:rsidR="00FC67C3" w:rsidRDefault="00FC67C3">
            <w:pPr>
              <w:autoSpaceDE w:val="0"/>
              <w:autoSpaceDN w:val="0"/>
              <w:adjustRightInd w:val="0"/>
              <w:rPr>
                <w:sz w:val="22"/>
                <w:szCs w:val="22"/>
              </w:rPr>
            </w:pPr>
            <w:r>
              <w:rPr>
                <w:sz w:val="22"/>
                <w:szCs w:val="22"/>
              </w:rPr>
              <w:t>0,80 až 1,07</w:t>
            </w:r>
          </w:p>
        </w:tc>
      </w:tr>
      <w:tr w:rsidR="00FC67C3" w14:paraId="6409D271" w14:textId="77777777">
        <w:tc>
          <w:tcPr>
            <w:tcW w:w="2883" w:type="dxa"/>
          </w:tcPr>
          <w:p w14:paraId="0378B2B2" w14:textId="77777777" w:rsidR="00FC67C3" w:rsidRDefault="00FC67C3">
            <w:pPr>
              <w:autoSpaceDE w:val="0"/>
              <w:autoSpaceDN w:val="0"/>
              <w:adjustRightInd w:val="0"/>
              <w:rPr>
                <w:sz w:val="22"/>
                <w:szCs w:val="22"/>
              </w:rPr>
            </w:pPr>
            <w:r>
              <w:rPr>
                <w:sz w:val="22"/>
                <w:szCs w:val="22"/>
              </w:rPr>
              <w:t>Hodnota p</w:t>
            </w:r>
          </w:p>
        </w:tc>
        <w:tc>
          <w:tcPr>
            <w:tcW w:w="2969" w:type="dxa"/>
            <w:gridSpan w:val="3"/>
          </w:tcPr>
          <w:p w14:paraId="486C16F4" w14:textId="77777777" w:rsidR="00FC67C3" w:rsidRDefault="00FC67C3">
            <w:pPr>
              <w:autoSpaceDE w:val="0"/>
              <w:autoSpaceDN w:val="0"/>
              <w:adjustRightInd w:val="0"/>
              <w:rPr>
                <w:sz w:val="22"/>
                <w:szCs w:val="22"/>
              </w:rPr>
            </w:pPr>
            <w:r>
              <w:rPr>
                <w:sz w:val="22"/>
                <w:szCs w:val="22"/>
              </w:rPr>
              <w:t>0,2850</w:t>
            </w:r>
          </w:p>
        </w:tc>
        <w:tc>
          <w:tcPr>
            <w:tcW w:w="2952" w:type="dxa"/>
            <w:gridSpan w:val="3"/>
          </w:tcPr>
          <w:p w14:paraId="75B962A2" w14:textId="77777777" w:rsidR="00FC67C3" w:rsidRDefault="00FC67C3">
            <w:pPr>
              <w:autoSpaceDE w:val="0"/>
              <w:autoSpaceDN w:val="0"/>
              <w:adjustRightInd w:val="0"/>
              <w:rPr>
                <w:sz w:val="22"/>
                <w:szCs w:val="22"/>
              </w:rPr>
            </w:pPr>
            <w:r>
              <w:rPr>
                <w:sz w:val="22"/>
                <w:szCs w:val="22"/>
              </w:rPr>
              <w:t>0,2838</w:t>
            </w:r>
          </w:p>
        </w:tc>
      </w:tr>
      <w:tr w:rsidR="00FC67C3" w14:paraId="4B1D047E" w14:textId="77777777">
        <w:tc>
          <w:tcPr>
            <w:tcW w:w="2883" w:type="dxa"/>
          </w:tcPr>
          <w:p w14:paraId="67DB20F9" w14:textId="77777777" w:rsidR="00FC67C3" w:rsidRDefault="004207C7" w:rsidP="004207C7">
            <w:pPr>
              <w:autoSpaceDE w:val="0"/>
              <w:autoSpaceDN w:val="0"/>
              <w:adjustRightInd w:val="0"/>
              <w:rPr>
                <w:sz w:val="22"/>
                <w:szCs w:val="22"/>
              </w:rPr>
            </w:pPr>
            <w:r>
              <w:rPr>
                <w:sz w:val="22"/>
                <w:szCs w:val="22"/>
              </w:rPr>
              <w:t xml:space="preserve">Čas do návratu </w:t>
            </w:r>
            <w:proofErr w:type="spellStart"/>
            <w:r>
              <w:rPr>
                <w:sz w:val="22"/>
                <w:szCs w:val="22"/>
              </w:rPr>
              <w:t>ochorenia</w:t>
            </w:r>
            <w:r w:rsidR="00FC67C3">
              <w:rPr>
                <w:sz w:val="22"/>
                <w:szCs w:val="22"/>
                <w:vertAlign w:val="superscript"/>
              </w:rPr>
              <w:t>c</w:t>
            </w:r>
            <w:proofErr w:type="spellEnd"/>
          </w:p>
        </w:tc>
        <w:tc>
          <w:tcPr>
            <w:tcW w:w="1484" w:type="dxa"/>
          </w:tcPr>
          <w:p w14:paraId="5C8CEE2F" w14:textId="77777777" w:rsidR="00FC67C3" w:rsidRDefault="00FC67C3">
            <w:pPr>
              <w:autoSpaceDE w:val="0"/>
              <w:autoSpaceDN w:val="0"/>
              <w:adjustRightInd w:val="0"/>
              <w:rPr>
                <w:sz w:val="22"/>
                <w:szCs w:val="22"/>
              </w:rPr>
            </w:pPr>
            <w:r>
              <w:rPr>
                <w:sz w:val="22"/>
                <w:szCs w:val="22"/>
              </w:rPr>
              <w:t>402 (12,9)</w:t>
            </w:r>
          </w:p>
        </w:tc>
        <w:tc>
          <w:tcPr>
            <w:tcW w:w="1485" w:type="dxa"/>
            <w:gridSpan w:val="2"/>
          </w:tcPr>
          <w:p w14:paraId="259A7956" w14:textId="77777777" w:rsidR="00FC67C3" w:rsidRDefault="00FC67C3">
            <w:pPr>
              <w:autoSpaceDE w:val="0"/>
              <w:autoSpaceDN w:val="0"/>
              <w:adjustRightInd w:val="0"/>
              <w:rPr>
                <w:sz w:val="22"/>
                <w:szCs w:val="22"/>
              </w:rPr>
            </w:pPr>
            <w:r>
              <w:rPr>
                <w:sz w:val="22"/>
                <w:szCs w:val="22"/>
              </w:rPr>
              <w:t>498 (16,0)</w:t>
            </w:r>
          </w:p>
        </w:tc>
        <w:tc>
          <w:tcPr>
            <w:tcW w:w="1476" w:type="dxa"/>
          </w:tcPr>
          <w:p w14:paraId="322DA02D" w14:textId="77777777" w:rsidR="00FC67C3" w:rsidRDefault="00FC67C3">
            <w:pPr>
              <w:autoSpaceDE w:val="0"/>
              <w:autoSpaceDN w:val="0"/>
              <w:adjustRightInd w:val="0"/>
              <w:rPr>
                <w:sz w:val="22"/>
                <w:szCs w:val="22"/>
              </w:rPr>
            </w:pPr>
            <w:r>
              <w:rPr>
                <w:sz w:val="22"/>
                <w:szCs w:val="22"/>
              </w:rPr>
              <w:t>282 (10,8)</w:t>
            </w:r>
          </w:p>
        </w:tc>
        <w:tc>
          <w:tcPr>
            <w:tcW w:w="1476" w:type="dxa"/>
            <w:gridSpan w:val="2"/>
          </w:tcPr>
          <w:p w14:paraId="1B66A036" w14:textId="77777777" w:rsidR="00FC67C3" w:rsidRDefault="00FC67C3">
            <w:pPr>
              <w:autoSpaceDE w:val="0"/>
              <w:autoSpaceDN w:val="0"/>
              <w:adjustRightInd w:val="0"/>
              <w:rPr>
                <w:sz w:val="22"/>
                <w:szCs w:val="22"/>
              </w:rPr>
            </w:pPr>
            <w:r>
              <w:rPr>
                <w:sz w:val="22"/>
                <w:szCs w:val="22"/>
              </w:rPr>
              <w:t>370 (14,2)</w:t>
            </w:r>
          </w:p>
        </w:tc>
      </w:tr>
      <w:tr w:rsidR="00FC67C3" w14:paraId="0B841762" w14:textId="77777777">
        <w:tc>
          <w:tcPr>
            <w:tcW w:w="2883" w:type="dxa"/>
          </w:tcPr>
          <w:p w14:paraId="33423D8D" w14:textId="77777777" w:rsidR="00FC67C3" w:rsidRDefault="00FC67C3" w:rsidP="004207C7">
            <w:pPr>
              <w:autoSpaceDE w:val="0"/>
              <w:autoSpaceDN w:val="0"/>
              <w:adjustRightInd w:val="0"/>
              <w:rPr>
                <w:sz w:val="22"/>
                <w:szCs w:val="22"/>
              </w:rPr>
            </w:pPr>
            <w:r>
              <w:rPr>
                <w:sz w:val="22"/>
                <w:szCs w:val="22"/>
              </w:rPr>
              <w:t>Pomer riz</w:t>
            </w:r>
            <w:r w:rsidR="004207C7">
              <w:rPr>
                <w:sz w:val="22"/>
                <w:szCs w:val="22"/>
              </w:rPr>
              <w:t>ika</w:t>
            </w:r>
          </w:p>
        </w:tc>
        <w:tc>
          <w:tcPr>
            <w:tcW w:w="2969" w:type="dxa"/>
            <w:gridSpan w:val="3"/>
          </w:tcPr>
          <w:p w14:paraId="0F4013A8" w14:textId="77777777" w:rsidR="00FC67C3" w:rsidRDefault="00FC67C3">
            <w:pPr>
              <w:autoSpaceDE w:val="0"/>
              <w:autoSpaceDN w:val="0"/>
              <w:adjustRightInd w:val="0"/>
              <w:rPr>
                <w:sz w:val="22"/>
                <w:szCs w:val="22"/>
              </w:rPr>
            </w:pPr>
            <w:r>
              <w:rPr>
                <w:sz w:val="22"/>
                <w:szCs w:val="22"/>
              </w:rPr>
              <w:t>0,79</w:t>
            </w:r>
          </w:p>
        </w:tc>
        <w:tc>
          <w:tcPr>
            <w:tcW w:w="2952" w:type="dxa"/>
            <w:gridSpan w:val="3"/>
          </w:tcPr>
          <w:p w14:paraId="283EC7CF" w14:textId="77777777" w:rsidR="00FC67C3" w:rsidRDefault="00FC67C3">
            <w:pPr>
              <w:autoSpaceDE w:val="0"/>
              <w:autoSpaceDN w:val="0"/>
              <w:adjustRightInd w:val="0"/>
              <w:rPr>
                <w:sz w:val="22"/>
                <w:szCs w:val="22"/>
              </w:rPr>
            </w:pPr>
            <w:r>
              <w:rPr>
                <w:sz w:val="22"/>
                <w:szCs w:val="22"/>
              </w:rPr>
              <w:t>0,74</w:t>
            </w:r>
          </w:p>
        </w:tc>
      </w:tr>
      <w:tr w:rsidR="00FC67C3" w14:paraId="77F32BFB" w14:textId="77777777">
        <w:tc>
          <w:tcPr>
            <w:tcW w:w="2883" w:type="dxa"/>
          </w:tcPr>
          <w:p w14:paraId="6581D381" w14:textId="77777777" w:rsidR="00FC67C3" w:rsidRDefault="004207C7" w:rsidP="004207C7">
            <w:pPr>
              <w:autoSpaceDE w:val="0"/>
              <w:autoSpaceDN w:val="0"/>
              <w:adjustRightInd w:val="0"/>
              <w:rPr>
                <w:sz w:val="22"/>
                <w:szCs w:val="22"/>
              </w:rPr>
            </w:pPr>
            <w:r>
              <w:rPr>
                <w:sz w:val="22"/>
                <w:szCs w:val="22"/>
              </w:rPr>
              <w:t>Oboj</w:t>
            </w:r>
            <w:r w:rsidR="00FC67C3">
              <w:rPr>
                <w:sz w:val="22"/>
                <w:szCs w:val="22"/>
              </w:rPr>
              <w:t>stranný 95</w:t>
            </w:r>
            <w:r>
              <w:rPr>
                <w:sz w:val="22"/>
                <w:szCs w:val="22"/>
              </w:rPr>
              <w:t xml:space="preserve"> </w:t>
            </w:r>
            <w:r w:rsidR="00FC67C3">
              <w:rPr>
                <w:sz w:val="22"/>
                <w:szCs w:val="22"/>
              </w:rPr>
              <w:t>% CI</w:t>
            </w:r>
          </w:p>
        </w:tc>
        <w:tc>
          <w:tcPr>
            <w:tcW w:w="2969" w:type="dxa"/>
            <w:gridSpan w:val="3"/>
          </w:tcPr>
          <w:p w14:paraId="409BF1F3" w14:textId="77777777" w:rsidR="00FC67C3" w:rsidRDefault="00FC67C3">
            <w:pPr>
              <w:autoSpaceDE w:val="0"/>
              <w:autoSpaceDN w:val="0"/>
              <w:adjustRightInd w:val="0"/>
              <w:rPr>
                <w:sz w:val="22"/>
                <w:szCs w:val="22"/>
              </w:rPr>
            </w:pPr>
            <w:r>
              <w:rPr>
                <w:sz w:val="22"/>
                <w:szCs w:val="22"/>
              </w:rPr>
              <w:t>0,70 až 0,90</w:t>
            </w:r>
          </w:p>
        </w:tc>
        <w:tc>
          <w:tcPr>
            <w:tcW w:w="2952" w:type="dxa"/>
            <w:gridSpan w:val="3"/>
          </w:tcPr>
          <w:p w14:paraId="399DDB4F" w14:textId="77777777" w:rsidR="00FC67C3" w:rsidRDefault="00FC67C3">
            <w:pPr>
              <w:autoSpaceDE w:val="0"/>
              <w:autoSpaceDN w:val="0"/>
              <w:adjustRightInd w:val="0"/>
              <w:rPr>
                <w:sz w:val="22"/>
                <w:szCs w:val="22"/>
              </w:rPr>
            </w:pPr>
            <w:r>
              <w:rPr>
                <w:sz w:val="22"/>
                <w:szCs w:val="22"/>
              </w:rPr>
              <w:t>0,64 až 0,87</w:t>
            </w:r>
          </w:p>
        </w:tc>
      </w:tr>
      <w:tr w:rsidR="00FC67C3" w14:paraId="3F068AF2" w14:textId="77777777">
        <w:tc>
          <w:tcPr>
            <w:tcW w:w="2883" w:type="dxa"/>
          </w:tcPr>
          <w:p w14:paraId="46EB248F" w14:textId="77777777" w:rsidR="00FC67C3" w:rsidRDefault="00FC67C3">
            <w:pPr>
              <w:autoSpaceDE w:val="0"/>
              <w:autoSpaceDN w:val="0"/>
              <w:adjustRightInd w:val="0"/>
              <w:rPr>
                <w:sz w:val="22"/>
                <w:szCs w:val="22"/>
              </w:rPr>
            </w:pPr>
            <w:r>
              <w:rPr>
                <w:sz w:val="22"/>
                <w:szCs w:val="22"/>
              </w:rPr>
              <w:t>Hodnota p</w:t>
            </w:r>
          </w:p>
        </w:tc>
        <w:tc>
          <w:tcPr>
            <w:tcW w:w="2969" w:type="dxa"/>
            <w:gridSpan w:val="3"/>
          </w:tcPr>
          <w:p w14:paraId="45E65CD6" w14:textId="77777777" w:rsidR="00FC67C3" w:rsidRDefault="00FC67C3">
            <w:pPr>
              <w:autoSpaceDE w:val="0"/>
              <w:autoSpaceDN w:val="0"/>
              <w:adjustRightInd w:val="0"/>
              <w:rPr>
                <w:sz w:val="22"/>
                <w:szCs w:val="22"/>
              </w:rPr>
            </w:pPr>
            <w:r>
              <w:rPr>
                <w:sz w:val="22"/>
                <w:szCs w:val="22"/>
              </w:rPr>
              <w:t>0,0005</w:t>
            </w:r>
          </w:p>
        </w:tc>
        <w:tc>
          <w:tcPr>
            <w:tcW w:w="2952" w:type="dxa"/>
            <w:gridSpan w:val="3"/>
          </w:tcPr>
          <w:p w14:paraId="3184643F" w14:textId="77777777" w:rsidR="00FC67C3" w:rsidRDefault="00FC67C3">
            <w:pPr>
              <w:autoSpaceDE w:val="0"/>
              <w:autoSpaceDN w:val="0"/>
              <w:adjustRightInd w:val="0"/>
              <w:rPr>
                <w:sz w:val="22"/>
                <w:szCs w:val="22"/>
              </w:rPr>
            </w:pPr>
            <w:r>
              <w:rPr>
                <w:sz w:val="22"/>
                <w:szCs w:val="22"/>
              </w:rPr>
              <w:t>0,0002</w:t>
            </w:r>
          </w:p>
        </w:tc>
      </w:tr>
      <w:tr w:rsidR="00FC67C3" w14:paraId="78F7CFD5" w14:textId="77777777">
        <w:tc>
          <w:tcPr>
            <w:tcW w:w="2883" w:type="dxa"/>
          </w:tcPr>
          <w:p w14:paraId="790D3962" w14:textId="77777777" w:rsidR="00FC67C3" w:rsidRDefault="004207C7" w:rsidP="004207C7">
            <w:pPr>
              <w:autoSpaceDE w:val="0"/>
              <w:autoSpaceDN w:val="0"/>
              <w:adjustRightInd w:val="0"/>
              <w:rPr>
                <w:sz w:val="22"/>
                <w:szCs w:val="22"/>
              </w:rPr>
            </w:pPr>
            <w:r>
              <w:rPr>
                <w:sz w:val="22"/>
                <w:szCs w:val="22"/>
              </w:rPr>
              <w:t xml:space="preserve">Čas do návratu vzdialeného </w:t>
            </w:r>
            <w:proofErr w:type="spellStart"/>
            <w:r>
              <w:rPr>
                <w:sz w:val="22"/>
                <w:szCs w:val="22"/>
              </w:rPr>
              <w:t>ochorenia</w:t>
            </w:r>
            <w:r w:rsidR="00FC67C3">
              <w:rPr>
                <w:sz w:val="22"/>
                <w:szCs w:val="22"/>
                <w:vertAlign w:val="superscript"/>
              </w:rPr>
              <w:t>d</w:t>
            </w:r>
            <w:proofErr w:type="spellEnd"/>
          </w:p>
        </w:tc>
        <w:tc>
          <w:tcPr>
            <w:tcW w:w="1484" w:type="dxa"/>
          </w:tcPr>
          <w:p w14:paraId="0B5F4BC8" w14:textId="77777777" w:rsidR="00FC67C3" w:rsidRDefault="00FC67C3">
            <w:pPr>
              <w:autoSpaceDE w:val="0"/>
              <w:autoSpaceDN w:val="0"/>
              <w:adjustRightInd w:val="0"/>
              <w:rPr>
                <w:sz w:val="22"/>
                <w:szCs w:val="22"/>
              </w:rPr>
            </w:pPr>
            <w:r>
              <w:rPr>
                <w:sz w:val="22"/>
                <w:szCs w:val="22"/>
              </w:rPr>
              <w:t>324 (10,4)</w:t>
            </w:r>
          </w:p>
        </w:tc>
        <w:tc>
          <w:tcPr>
            <w:tcW w:w="1485" w:type="dxa"/>
            <w:gridSpan w:val="2"/>
          </w:tcPr>
          <w:p w14:paraId="61EAEFC7" w14:textId="77777777" w:rsidR="00FC67C3" w:rsidRDefault="00FC67C3">
            <w:pPr>
              <w:autoSpaceDE w:val="0"/>
              <w:autoSpaceDN w:val="0"/>
              <w:adjustRightInd w:val="0"/>
              <w:rPr>
                <w:sz w:val="22"/>
                <w:szCs w:val="22"/>
              </w:rPr>
            </w:pPr>
            <w:r>
              <w:rPr>
                <w:sz w:val="22"/>
                <w:szCs w:val="22"/>
              </w:rPr>
              <w:t>375 (12,0)</w:t>
            </w:r>
          </w:p>
        </w:tc>
        <w:tc>
          <w:tcPr>
            <w:tcW w:w="1476" w:type="dxa"/>
          </w:tcPr>
          <w:p w14:paraId="0CFD8102" w14:textId="77777777" w:rsidR="00FC67C3" w:rsidRDefault="00FC67C3">
            <w:pPr>
              <w:autoSpaceDE w:val="0"/>
              <w:autoSpaceDN w:val="0"/>
              <w:adjustRightInd w:val="0"/>
              <w:rPr>
                <w:sz w:val="22"/>
                <w:szCs w:val="22"/>
              </w:rPr>
            </w:pPr>
            <w:r>
              <w:rPr>
                <w:sz w:val="22"/>
                <w:szCs w:val="22"/>
              </w:rPr>
              <w:t>226 (8,6)</w:t>
            </w:r>
          </w:p>
        </w:tc>
        <w:tc>
          <w:tcPr>
            <w:tcW w:w="1476" w:type="dxa"/>
            <w:gridSpan w:val="2"/>
          </w:tcPr>
          <w:p w14:paraId="744AE9CA" w14:textId="77777777" w:rsidR="00FC67C3" w:rsidRDefault="00FC67C3">
            <w:pPr>
              <w:autoSpaceDE w:val="0"/>
              <w:autoSpaceDN w:val="0"/>
              <w:adjustRightInd w:val="0"/>
              <w:rPr>
                <w:sz w:val="22"/>
                <w:szCs w:val="22"/>
              </w:rPr>
            </w:pPr>
            <w:r>
              <w:rPr>
                <w:sz w:val="22"/>
                <w:szCs w:val="22"/>
              </w:rPr>
              <w:t>265 (10,2)</w:t>
            </w:r>
          </w:p>
        </w:tc>
      </w:tr>
      <w:tr w:rsidR="00FC67C3" w14:paraId="066FE0BA" w14:textId="77777777">
        <w:tc>
          <w:tcPr>
            <w:tcW w:w="2883" w:type="dxa"/>
          </w:tcPr>
          <w:p w14:paraId="55ED1C7B" w14:textId="77777777" w:rsidR="00FC67C3" w:rsidRDefault="00FC67C3" w:rsidP="004207C7">
            <w:pPr>
              <w:autoSpaceDE w:val="0"/>
              <w:autoSpaceDN w:val="0"/>
              <w:adjustRightInd w:val="0"/>
              <w:rPr>
                <w:sz w:val="22"/>
                <w:szCs w:val="22"/>
              </w:rPr>
            </w:pPr>
            <w:r>
              <w:rPr>
                <w:sz w:val="22"/>
                <w:szCs w:val="22"/>
              </w:rPr>
              <w:t>Pomer riz</w:t>
            </w:r>
            <w:r w:rsidR="004207C7">
              <w:rPr>
                <w:sz w:val="22"/>
                <w:szCs w:val="22"/>
              </w:rPr>
              <w:t>ika</w:t>
            </w:r>
          </w:p>
        </w:tc>
        <w:tc>
          <w:tcPr>
            <w:tcW w:w="2969" w:type="dxa"/>
            <w:gridSpan w:val="3"/>
          </w:tcPr>
          <w:p w14:paraId="046A8F80" w14:textId="77777777" w:rsidR="00FC67C3" w:rsidRDefault="00FC67C3">
            <w:pPr>
              <w:autoSpaceDE w:val="0"/>
              <w:autoSpaceDN w:val="0"/>
              <w:adjustRightInd w:val="0"/>
              <w:rPr>
                <w:sz w:val="22"/>
                <w:szCs w:val="22"/>
              </w:rPr>
            </w:pPr>
            <w:r>
              <w:rPr>
                <w:sz w:val="22"/>
                <w:szCs w:val="22"/>
              </w:rPr>
              <w:t>0,86</w:t>
            </w:r>
          </w:p>
        </w:tc>
        <w:tc>
          <w:tcPr>
            <w:tcW w:w="2952" w:type="dxa"/>
            <w:gridSpan w:val="3"/>
          </w:tcPr>
          <w:p w14:paraId="070FDBCC" w14:textId="77777777" w:rsidR="00FC67C3" w:rsidRDefault="00FC67C3">
            <w:pPr>
              <w:autoSpaceDE w:val="0"/>
              <w:autoSpaceDN w:val="0"/>
              <w:adjustRightInd w:val="0"/>
              <w:rPr>
                <w:sz w:val="22"/>
                <w:szCs w:val="22"/>
              </w:rPr>
            </w:pPr>
            <w:r>
              <w:rPr>
                <w:sz w:val="22"/>
                <w:szCs w:val="22"/>
              </w:rPr>
              <w:t>0,84</w:t>
            </w:r>
          </w:p>
        </w:tc>
      </w:tr>
      <w:tr w:rsidR="00FC67C3" w14:paraId="7FB180EF" w14:textId="77777777">
        <w:tc>
          <w:tcPr>
            <w:tcW w:w="2883" w:type="dxa"/>
          </w:tcPr>
          <w:p w14:paraId="0D0CFB37" w14:textId="77777777" w:rsidR="00FC67C3" w:rsidRDefault="004207C7" w:rsidP="004207C7">
            <w:pPr>
              <w:autoSpaceDE w:val="0"/>
              <w:autoSpaceDN w:val="0"/>
              <w:adjustRightInd w:val="0"/>
              <w:rPr>
                <w:sz w:val="22"/>
                <w:szCs w:val="22"/>
              </w:rPr>
            </w:pPr>
            <w:r>
              <w:rPr>
                <w:sz w:val="22"/>
                <w:szCs w:val="22"/>
              </w:rPr>
              <w:t>Oboj</w:t>
            </w:r>
            <w:r w:rsidR="00FC67C3">
              <w:rPr>
                <w:sz w:val="22"/>
                <w:szCs w:val="22"/>
              </w:rPr>
              <w:t>stranný 95</w:t>
            </w:r>
            <w:r>
              <w:rPr>
                <w:sz w:val="22"/>
                <w:szCs w:val="22"/>
              </w:rPr>
              <w:t xml:space="preserve"> </w:t>
            </w:r>
            <w:r w:rsidR="00FC67C3">
              <w:rPr>
                <w:sz w:val="22"/>
                <w:szCs w:val="22"/>
              </w:rPr>
              <w:t>% CI</w:t>
            </w:r>
          </w:p>
        </w:tc>
        <w:tc>
          <w:tcPr>
            <w:tcW w:w="2969" w:type="dxa"/>
            <w:gridSpan w:val="3"/>
          </w:tcPr>
          <w:p w14:paraId="460E36EF" w14:textId="77777777" w:rsidR="00FC67C3" w:rsidRDefault="00FC67C3">
            <w:pPr>
              <w:autoSpaceDE w:val="0"/>
              <w:autoSpaceDN w:val="0"/>
              <w:adjustRightInd w:val="0"/>
              <w:rPr>
                <w:sz w:val="22"/>
                <w:szCs w:val="22"/>
              </w:rPr>
            </w:pPr>
            <w:r>
              <w:rPr>
                <w:sz w:val="22"/>
                <w:szCs w:val="22"/>
              </w:rPr>
              <w:t>0,74 až 0,99</w:t>
            </w:r>
          </w:p>
        </w:tc>
        <w:tc>
          <w:tcPr>
            <w:tcW w:w="2952" w:type="dxa"/>
            <w:gridSpan w:val="3"/>
          </w:tcPr>
          <w:p w14:paraId="2A5E5361" w14:textId="77777777" w:rsidR="00FC67C3" w:rsidRDefault="00FC67C3">
            <w:pPr>
              <w:autoSpaceDE w:val="0"/>
              <w:autoSpaceDN w:val="0"/>
              <w:adjustRightInd w:val="0"/>
              <w:rPr>
                <w:sz w:val="22"/>
                <w:szCs w:val="22"/>
              </w:rPr>
            </w:pPr>
            <w:r>
              <w:rPr>
                <w:sz w:val="22"/>
                <w:szCs w:val="22"/>
              </w:rPr>
              <w:t>0,70 až 1,00</w:t>
            </w:r>
          </w:p>
        </w:tc>
      </w:tr>
      <w:tr w:rsidR="00FC67C3" w14:paraId="52AD7202" w14:textId="77777777">
        <w:tc>
          <w:tcPr>
            <w:tcW w:w="2883" w:type="dxa"/>
          </w:tcPr>
          <w:p w14:paraId="57AC42B7" w14:textId="77777777" w:rsidR="00FC67C3" w:rsidRDefault="00FC67C3">
            <w:pPr>
              <w:autoSpaceDE w:val="0"/>
              <w:autoSpaceDN w:val="0"/>
              <w:adjustRightInd w:val="0"/>
              <w:rPr>
                <w:sz w:val="22"/>
                <w:szCs w:val="22"/>
              </w:rPr>
            </w:pPr>
            <w:r>
              <w:rPr>
                <w:sz w:val="22"/>
                <w:szCs w:val="22"/>
              </w:rPr>
              <w:t>Hodnota p</w:t>
            </w:r>
          </w:p>
        </w:tc>
        <w:tc>
          <w:tcPr>
            <w:tcW w:w="2969" w:type="dxa"/>
            <w:gridSpan w:val="3"/>
          </w:tcPr>
          <w:p w14:paraId="068843EB" w14:textId="77777777" w:rsidR="00FC67C3" w:rsidRDefault="00FC67C3">
            <w:pPr>
              <w:autoSpaceDE w:val="0"/>
              <w:autoSpaceDN w:val="0"/>
              <w:adjustRightInd w:val="0"/>
              <w:rPr>
                <w:sz w:val="22"/>
                <w:szCs w:val="22"/>
              </w:rPr>
            </w:pPr>
            <w:r>
              <w:rPr>
                <w:sz w:val="22"/>
                <w:szCs w:val="22"/>
              </w:rPr>
              <w:t>0,0427</w:t>
            </w:r>
          </w:p>
        </w:tc>
        <w:tc>
          <w:tcPr>
            <w:tcW w:w="2952" w:type="dxa"/>
            <w:gridSpan w:val="3"/>
          </w:tcPr>
          <w:p w14:paraId="34A25541" w14:textId="77777777" w:rsidR="00FC67C3" w:rsidRDefault="00FC67C3">
            <w:pPr>
              <w:autoSpaceDE w:val="0"/>
              <w:autoSpaceDN w:val="0"/>
              <w:adjustRightInd w:val="0"/>
              <w:rPr>
                <w:sz w:val="22"/>
                <w:szCs w:val="22"/>
              </w:rPr>
            </w:pPr>
            <w:r>
              <w:rPr>
                <w:sz w:val="22"/>
                <w:szCs w:val="22"/>
              </w:rPr>
              <w:t>0,0559</w:t>
            </w:r>
          </w:p>
        </w:tc>
      </w:tr>
      <w:tr w:rsidR="00FC67C3" w14:paraId="5BED7E4A" w14:textId="77777777">
        <w:tc>
          <w:tcPr>
            <w:tcW w:w="2883" w:type="dxa"/>
          </w:tcPr>
          <w:p w14:paraId="62FB96EF" w14:textId="77777777" w:rsidR="00FC67C3" w:rsidRDefault="00FC67C3">
            <w:pPr>
              <w:autoSpaceDE w:val="0"/>
              <w:autoSpaceDN w:val="0"/>
              <w:adjustRightInd w:val="0"/>
              <w:rPr>
                <w:sz w:val="22"/>
                <w:szCs w:val="22"/>
              </w:rPr>
            </w:pPr>
            <w:r>
              <w:rPr>
                <w:sz w:val="22"/>
                <w:szCs w:val="22"/>
              </w:rPr>
              <w:t xml:space="preserve">Primárny </w:t>
            </w:r>
            <w:proofErr w:type="spellStart"/>
            <w:r>
              <w:rPr>
                <w:sz w:val="22"/>
                <w:szCs w:val="22"/>
              </w:rPr>
              <w:t>kontralaterálny</w:t>
            </w:r>
            <w:proofErr w:type="spellEnd"/>
            <w:r>
              <w:rPr>
                <w:sz w:val="22"/>
                <w:szCs w:val="22"/>
              </w:rPr>
              <w:t xml:space="preserve"> </w:t>
            </w:r>
            <w:r w:rsidR="004207C7">
              <w:rPr>
                <w:sz w:val="22"/>
                <w:szCs w:val="22"/>
              </w:rPr>
              <w:t xml:space="preserve">karcinóm </w:t>
            </w:r>
            <w:r>
              <w:rPr>
                <w:sz w:val="22"/>
                <w:szCs w:val="22"/>
              </w:rPr>
              <w:t>prsník</w:t>
            </w:r>
            <w:r w:rsidR="004207C7">
              <w:rPr>
                <w:sz w:val="22"/>
                <w:szCs w:val="22"/>
              </w:rPr>
              <w:t>a</w:t>
            </w:r>
          </w:p>
        </w:tc>
        <w:tc>
          <w:tcPr>
            <w:tcW w:w="1484" w:type="dxa"/>
          </w:tcPr>
          <w:p w14:paraId="68DA315A" w14:textId="77777777" w:rsidR="00FC67C3" w:rsidRDefault="00FC67C3">
            <w:pPr>
              <w:autoSpaceDE w:val="0"/>
              <w:autoSpaceDN w:val="0"/>
              <w:adjustRightInd w:val="0"/>
              <w:rPr>
                <w:sz w:val="22"/>
                <w:szCs w:val="22"/>
              </w:rPr>
            </w:pPr>
            <w:r>
              <w:rPr>
                <w:sz w:val="22"/>
                <w:szCs w:val="22"/>
              </w:rPr>
              <w:t>35 (1,1)</w:t>
            </w:r>
          </w:p>
        </w:tc>
        <w:tc>
          <w:tcPr>
            <w:tcW w:w="1485" w:type="dxa"/>
            <w:gridSpan w:val="2"/>
          </w:tcPr>
          <w:p w14:paraId="15A4446E" w14:textId="77777777" w:rsidR="00FC67C3" w:rsidRDefault="00FC67C3">
            <w:pPr>
              <w:autoSpaceDE w:val="0"/>
              <w:autoSpaceDN w:val="0"/>
              <w:adjustRightInd w:val="0"/>
              <w:rPr>
                <w:sz w:val="22"/>
                <w:szCs w:val="22"/>
              </w:rPr>
            </w:pPr>
            <w:r>
              <w:rPr>
                <w:sz w:val="22"/>
                <w:szCs w:val="22"/>
              </w:rPr>
              <w:t>59 (1,9)</w:t>
            </w:r>
          </w:p>
        </w:tc>
        <w:tc>
          <w:tcPr>
            <w:tcW w:w="1476" w:type="dxa"/>
          </w:tcPr>
          <w:p w14:paraId="59E1F7AB" w14:textId="77777777" w:rsidR="00FC67C3" w:rsidRDefault="00FC67C3">
            <w:pPr>
              <w:autoSpaceDE w:val="0"/>
              <w:autoSpaceDN w:val="0"/>
              <w:adjustRightInd w:val="0"/>
              <w:rPr>
                <w:sz w:val="22"/>
                <w:szCs w:val="22"/>
              </w:rPr>
            </w:pPr>
            <w:r>
              <w:rPr>
                <w:sz w:val="22"/>
                <w:szCs w:val="22"/>
              </w:rPr>
              <w:t>26 (1,0)</w:t>
            </w:r>
          </w:p>
        </w:tc>
        <w:tc>
          <w:tcPr>
            <w:tcW w:w="1476" w:type="dxa"/>
            <w:gridSpan w:val="2"/>
          </w:tcPr>
          <w:p w14:paraId="4CE72E71" w14:textId="77777777" w:rsidR="00FC67C3" w:rsidRDefault="00FC67C3">
            <w:pPr>
              <w:autoSpaceDE w:val="0"/>
              <w:autoSpaceDN w:val="0"/>
              <w:adjustRightInd w:val="0"/>
              <w:rPr>
                <w:sz w:val="22"/>
                <w:szCs w:val="22"/>
              </w:rPr>
            </w:pPr>
            <w:r>
              <w:rPr>
                <w:sz w:val="22"/>
                <w:szCs w:val="22"/>
              </w:rPr>
              <w:t>54 (2,1)</w:t>
            </w:r>
          </w:p>
        </w:tc>
      </w:tr>
      <w:tr w:rsidR="00FC67C3" w14:paraId="34BFE7E3" w14:textId="77777777">
        <w:tc>
          <w:tcPr>
            <w:tcW w:w="2883" w:type="dxa"/>
          </w:tcPr>
          <w:p w14:paraId="4112C389" w14:textId="77777777" w:rsidR="00FC67C3" w:rsidRDefault="004207C7" w:rsidP="004207C7">
            <w:pPr>
              <w:autoSpaceDE w:val="0"/>
              <w:autoSpaceDN w:val="0"/>
              <w:adjustRightInd w:val="0"/>
              <w:rPr>
                <w:sz w:val="22"/>
                <w:szCs w:val="22"/>
              </w:rPr>
            </w:pPr>
            <w:r>
              <w:rPr>
                <w:sz w:val="22"/>
                <w:szCs w:val="22"/>
              </w:rPr>
              <w:t>Pomer šancí</w:t>
            </w:r>
          </w:p>
        </w:tc>
        <w:tc>
          <w:tcPr>
            <w:tcW w:w="2969" w:type="dxa"/>
            <w:gridSpan w:val="3"/>
          </w:tcPr>
          <w:p w14:paraId="07E432C5" w14:textId="77777777" w:rsidR="00FC67C3" w:rsidRDefault="00FC67C3">
            <w:pPr>
              <w:autoSpaceDE w:val="0"/>
              <w:autoSpaceDN w:val="0"/>
              <w:adjustRightInd w:val="0"/>
              <w:rPr>
                <w:sz w:val="22"/>
                <w:szCs w:val="22"/>
              </w:rPr>
            </w:pPr>
            <w:r>
              <w:rPr>
                <w:sz w:val="22"/>
                <w:szCs w:val="22"/>
              </w:rPr>
              <w:t>0,59</w:t>
            </w:r>
          </w:p>
        </w:tc>
        <w:tc>
          <w:tcPr>
            <w:tcW w:w="2952" w:type="dxa"/>
            <w:gridSpan w:val="3"/>
          </w:tcPr>
          <w:p w14:paraId="587C546E" w14:textId="77777777" w:rsidR="00FC67C3" w:rsidRDefault="00FC67C3">
            <w:pPr>
              <w:autoSpaceDE w:val="0"/>
              <w:autoSpaceDN w:val="0"/>
              <w:adjustRightInd w:val="0"/>
              <w:rPr>
                <w:sz w:val="22"/>
                <w:szCs w:val="22"/>
              </w:rPr>
            </w:pPr>
            <w:r>
              <w:rPr>
                <w:sz w:val="22"/>
                <w:szCs w:val="22"/>
              </w:rPr>
              <w:t>0,47</w:t>
            </w:r>
          </w:p>
        </w:tc>
      </w:tr>
      <w:tr w:rsidR="00FC67C3" w14:paraId="17D4C36F" w14:textId="77777777">
        <w:tc>
          <w:tcPr>
            <w:tcW w:w="2883" w:type="dxa"/>
          </w:tcPr>
          <w:p w14:paraId="412FC6D5" w14:textId="77777777" w:rsidR="00FC67C3" w:rsidRDefault="004207C7" w:rsidP="004207C7">
            <w:pPr>
              <w:autoSpaceDE w:val="0"/>
              <w:autoSpaceDN w:val="0"/>
              <w:adjustRightInd w:val="0"/>
              <w:rPr>
                <w:sz w:val="22"/>
                <w:szCs w:val="22"/>
              </w:rPr>
            </w:pPr>
            <w:r>
              <w:rPr>
                <w:sz w:val="22"/>
                <w:szCs w:val="22"/>
              </w:rPr>
              <w:t>Oboj</w:t>
            </w:r>
            <w:r w:rsidR="00FC67C3">
              <w:rPr>
                <w:sz w:val="22"/>
                <w:szCs w:val="22"/>
              </w:rPr>
              <w:t>stranný 95</w:t>
            </w:r>
            <w:r>
              <w:rPr>
                <w:sz w:val="22"/>
                <w:szCs w:val="22"/>
              </w:rPr>
              <w:t xml:space="preserve"> </w:t>
            </w:r>
            <w:r w:rsidR="00FC67C3">
              <w:rPr>
                <w:sz w:val="22"/>
                <w:szCs w:val="22"/>
              </w:rPr>
              <w:t>% CI</w:t>
            </w:r>
          </w:p>
        </w:tc>
        <w:tc>
          <w:tcPr>
            <w:tcW w:w="2969" w:type="dxa"/>
            <w:gridSpan w:val="3"/>
          </w:tcPr>
          <w:p w14:paraId="60EBAB46" w14:textId="77777777" w:rsidR="00FC67C3" w:rsidRDefault="00FC67C3">
            <w:pPr>
              <w:autoSpaceDE w:val="0"/>
              <w:autoSpaceDN w:val="0"/>
              <w:adjustRightInd w:val="0"/>
              <w:rPr>
                <w:sz w:val="22"/>
                <w:szCs w:val="22"/>
              </w:rPr>
            </w:pPr>
            <w:r>
              <w:rPr>
                <w:sz w:val="22"/>
                <w:szCs w:val="22"/>
              </w:rPr>
              <w:t>0,39 až 0,89</w:t>
            </w:r>
          </w:p>
        </w:tc>
        <w:tc>
          <w:tcPr>
            <w:tcW w:w="2952" w:type="dxa"/>
            <w:gridSpan w:val="3"/>
          </w:tcPr>
          <w:p w14:paraId="4C168AB9" w14:textId="77777777" w:rsidR="00FC67C3" w:rsidRDefault="00FC67C3">
            <w:pPr>
              <w:autoSpaceDE w:val="0"/>
              <w:autoSpaceDN w:val="0"/>
              <w:adjustRightInd w:val="0"/>
              <w:rPr>
                <w:sz w:val="22"/>
                <w:szCs w:val="22"/>
              </w:rPr>
            </w:pPr>
            <w:r>
              <w:rPr>
                <w:sz w:val="22"/>
                <w:szCs w:val="22"/>
              </w:rPr>
              <w:t>0,30 až 0,76</w:t>
            </w:r>
          </w:p>
        </w:tc>
      </w:tr>
      <w:tr w:rsidR="00FC67C3" w14:paraId="69F57857" w14:textId="77777777">
        <w:tc>
          <w:tcPr>
            <w:tcW w:w="2883" w:type="dxa"/>
          </w:tcPr>
          <w:p w14:paraId="585A4633" w14:textId="77777777" w:rsidR="00FC67C3" w:rsidRDefault="00FC67C3">
            <w:pPr>
              <w:autoSpaceDE w:val="0"/>
              <w:autoSpaceDN w:val="0"/>
              <w:adjustRightInd w:val="0"/>
              <w:rPr>
                <w:sz w:val="22"/>
                <w:szCs w:val="22"/>
              </w:rPr>
            </w:pPr>
            <w:r>
              <w:rPr>
                <w:sz w:val="22"/>
                <w:szCs w:val="22"/>
              </w:rPr>
              <w:t>Hodnota p</w:t>
            </w:r>
          </w:p>
        </w:tc>
        <w:tc>
          <w:tcPr>
            <w:tcW w:w="2969" w:type="dxa"/>
            <w:gridSpan w:val="3"/>
          </w:tcPr>
          <w:p w14:paraId="1A43FA4E" w14:textId="77777777" w:rsidR="00FC67C3" w:rsidRDefault="00FC67C3">
            <w:pPr>
              <w:autoSpaceDE w:val="0"/>
              <w:autoSpaceDN w:val="0"/>
              <w:adjustRightInd w:val="0"/>
              <w:rPr>
                <w:sz w:val="22"/>
                <w:szCs w:val="22"/>
              </w:rPr>
            </w:pPr>
            <w:r>
              <w:rPr>
                <w:sz w:val="22"/>
                <w:szCs w:val="22"/>
              </w:rPr>
              <w:t>0,0131</w:t>
            </w:r>
          </w:p>
        </w:tc>
        <w:tc>
          <w:tcPr>
            <w:tcW w:w="2952" w:type="dxa"/>
            <w:gridSpan w:val="3"/>
          </w:tcPr>
          <w:p w14:paraId="3CE64BC4" w14:textId="77777777" w:rsidR="00FC67C3" w:rsidRDefault="00FC67C3">
            <w:pPr>
              <w:autoSpaceDE w:val="0"/>
              <w:autoSpaceDN w:val="0"/>
              <w:adjustRightInd w:val="0"/>
              <w:rPr>
                <w:sz w:val="22"/>
                <w:szCs w:val="22"/>
              </w:rPr>
            </w:pPr>
            <w:r>
              <w:rPr>
                <w:sz w:val="22"/>
                <w:szCs w:val="22"/>
              </w:rPr>
              <w:t>0,0018</w:t>
            </w:r>
          </w:p>
        </w:tc>
      </w:tr>
      <w:tr w:rsidR="00FC67C3" w14:paraId="045EB1F1" w14:textId="77777777">
        <w:tc>
          <w:tcPr>
            <w:tcW w:w="2883" w:type="dxa"/>
          </w:tcPr>
          <w:p w14:paraId="09168F28" w14:textId="77777777" w:rsidR="00FC67C3" w:rsidRPr="002F32F0" w:rsidRDefault="00FC67C3">
            <w:pPr>
              <w:autoSpaceDE w:val="0"/>
              <w:autoSpaceDN w:val="0"/>
              <w:adjustRightInd w:val="0"/>
              <w:rPr>
                <w:sz w:val="22"/>
                <w:szCs w:val="22"/>
                <w:vertAlign w:val="superscript"/>
              </w:rPr>
            </w:pPr>
            <w:r>
              <w:rPr>
                <w:sz w:val="22"/>
                <w:szCs w:val="22"/>
              </w:rPr>
              <w:t xml:space="preserve">Celkové </w:t>
            </w:r>
            <w:proofErr w:type="spellStart"/>
            <w:r>
              <w:rPr>
                <w:sz w:val="22"/>
                <w:szCs w:val="22"/>
              </w:rPr>
              <w:t>prežívanie</w:t>
            </w:r>
            <w:r w:rsidR="004207C7">
              <w:rPr>
                <w:sz w:val="22"/>
                <w:szCs w:val="22"/>
                <w:vertAlign w:val="superscript"/>
              </w:rPr>
              <w:t>e</w:t>
            </w:r>
            <w:proofErr w:type="spellEnd"/>
          </w:p>
        </w:tc>
        <w:tc>
          <w:tcPr>
            <w:tcW w:w="1484" w:type="dxa"/>
          </w:tcPr>
          <w:p w14:paraId="417E9413" w14:textId="77777777" w:rsidR="00FC67C3" w:rsidRDefault="00FC67C3">
            <w:pPr>
              <w:autoSpaceDE w:val="0"/>
              <w:autoSpaceDN w:val="0"/>
              <w:adjustRightInd w:val="0"/>
              <w:rPr>
                <w:sz w:val="22"/>
                <w:szCs w:val="22"/>
              </w:rPr>
            </w:pPr>
            <w:r>
              <w:rPr>
                <w:sz w:val="22"/>
                <w:szCs w:val="22"/>
              </w:rPr>
              <w:t>411 (13,2)</w:t>
            </w:r>
          </w:p>
        </w:tc>
        <w:tc>
          <w:tcPr>
            <w:tcW w:w="1485" w:type="dxa"/>
            <w:gridSpan w:val="2"/>
          </w:tcPr>
          <w:p w14:paraId="30036CA1" w14:textId="77777777" w:rsidR="00FC67C3" w:rsidRDefault="00FC67C3">
            <w:pPr>
              <w:autoSpaceDE w:val="0"/>
              <w:autoSpaceDN w:val="0"/>
              <w:adjustRightInd w:val="0"/>
              <w:rPr>
                <w:sz w:val="22"/>
                <w:szCs w:val="22"/>
              </w:rPr>
            </w:pPr>
            <w:r>
              <w:rPr>
                <w:sz w:val="22"/>
                <w:szCs w:val="22"/>
              </w:rPr>
              <w:t>420 (13,5)</w:t>
            </w:r>
          </w:p>
        </w:tc>
        <w:tc>
          <w:tcPr>
            <w:tcW w:w="1476" w:type="dxa"/>
          </w:tcPr>
          <w:p w14:paraId="0E6B1A28" w14:textId="77777777" w:rsidR="00FC67C3" w:rsidRDefault="00FC67C3">
            <w:pPr>
              <w:autoSpaceDE w:val="0"/>
              <w:autoSpaceDN w:val="0"/>
              <w:adjustRightInd w:val="0"/>
              <w:rPr>
                <w:sz w:val="22"/>
                <w:szCs w:val="22"/>
              </w:rPr>
            </w:pPr>
            <w:r>
              <w:rPr>
                <w:sz w:val="22"/>
                <w:szCs w:val="22"/>
              </w:rPr>
              <w:t>296 (11,3)</w:t>
            </w:r>
          </w:p>
        </w:tc>
        <w:tc>
          <w:tcPr>
            <w:tcW w:w="1476" w:type="dxa"/>
            <w:gridSpan w:val="2"/>
          </w:tcPr>
          <w:p w14:paraId="3DD736D0" w14:textId="77777777" w:rsidR="00FC67C3" w:rsidRDefault="00FC67C3">
            <w:pPr>
              <w:autoSpaceDE w:val="0"/>
              <w:autoSpaceDN w:val="0"/>
              <w:adjustRightInd w:val="0"/>
              <w:rPr>
                <w:sz w:val="22"/>
                <w:szCs w:val="22"/>
              </w:rPr>
            </w:pPr>
            <w:r>
              <w:rPr>
                <w:sz w:val="22"/>
                <w:szCs w:val="22"/>
              </w:rPr>
              <w:t>301 (11,6)</w:t>
            </w:r>
          </w:p>
        </w:tc>
      </w:tr>
      <w:tr w:rsidR="00FC67C3" w14:paraId="13995C60" w14:textId="77777777">
        <w:tc>
          <w:tcPr>
            <w:tcW w:w="2883" w:type="dxa"/>
          </w:tcPr>
          <w:p w14:paraId="3FDD1F00" w14:textId="77777777" w:rsidR="00FC67C3" w:rsidRDefault="00FC67C3" w:rsidP="004207C7">
            <w:pPr>
              <w:autoSpaceDE w:val="0"/>
              <w:autoSpaceDN w:val="0"/>
              <w:adjustRightInd w:val="0"/>
              <w:rPr>
                <w:sz w:val="22"/>
                <w:szCs w:val="22"/>
              </w:rPr>
            </w:pPr>
            <w:r>
              <w:rPr>
                <w:sz w:val="22"/>
                <w:szCs w:val="22"/>
              </w:rPr>
              <w:t>Pomer riz</w:t>
            </w:r>
            <w:r w:rsidR="004207C7">
              <w:rPr>
                <w:sz w:val="22"/>
                <w:szCs w:val="22"/>
              </w:rPr>
              <w:t>ika</w:t>
            </w:r>
          </w:p>
        </w:tc>
        <w:tc>
          <w:tcPr>
            <w:tcW w:w="2969" w:type="dxa"/>
            <w:gridSpan w:val="3"/>
          </w:tcPr>
          <w:p w14:paraId="20FB2289" w14:textId="77777777" w:rsidR="00FC67C3" w:rsidRDefault="00FC67C3">
            <w:pPr>
              <w:autoSpaceDE w:val="0"/>
              <w:autoSpaceDN w:val="0"/>
              <w:adjustRightInd w:val="0"/>
              <w:rPr>
                <w:sz w:val="22"/>
                <w:szCs w:val="22"/>
              </w:rPr>
            </w:pPr>
            <w:r>
              <w:rPr>
                <w:sz w:val="22"/>
                <w:szCs w:val="22"/>
              </w:rPr>
              <w:t>0,97</w:t>
            </w:r>
          </w:p>
        </w:tc>
        <w:tc>
          <w:tcPr>
            <w:tcW w:w="2952" w:type="dxa"/>
            <w:gridSpan w:val="3"/>
          </w:tcPr>
          <w:p w14:paraId="5D68ABF2" w14:textId="77777777" w:rsidR="00FC67C3" w:rsidRDefault="00FC67C3">
            <w:pPr>
              <w:autoSpaceDE w:val="0"/>
              <w:autoSpaceDN w:val="0"/>
              <w:adjustRightInd w:val="0"/>
              <w:rPr>
                <w:sz w:val="22"/>
                <w:szCs w:val="22"/>
              </w:rPr>
            </w:pPr>
            <w:r>
              <w:rPr>
                <w:sz w:val="22"/>
                <w:szCs w:val="22"/>
              </w:rPr>
              <w:t>0,97</w:t>
            </w:r>
          </w:p>
        </w:tc>
      </w:tr>
      <w:tr w:rsidR="00FC67C3" w14:paraId="45A674DA" w14:textId="77777777">
        <w:tc>
          <w:tcPr>
            <w:tcW w:w="2883" w:type="dxa"/>
          </w:tcPr>
          <w:p w14:paraId="7D799335" w14:textId="77777777" w:rsidR="00FC67C3" w:rsidRDefault="004207C7" w:rsidP="004207C7">
            <w:pPr>
              <w:autoSpaceDE w:val="0"/>
              <w:autoSpaceDN w:val="0"/>
              <w:adjustRightInd w:val="0"/>
              <w:rPr>
                <w:sz w:val="22"/>
                <w:szCs w:val="22"/>
              </w:rPr>
            </w:pPr>
            <w:r>
              <w:rPr>
                <w:sz w:val="22"/>
                <w:szCs w:val="22"/>
              </w:rPr>
              <w:t>Oboj</w:t>
            </w:r>
            <w:r w:rsidR="00FC67C3">
              <w:rPr>
                <w:sz w:val="22"/>
                <w:szCs w:val="22"/>
              </w:rPr>
              <w:t>stranný 95</w:t>
            </w:r>
            <w:r>
              <w:rPr>
                <w:sz w:val="22"/>
                <w:szCs w:val="22"/>
              </w:rPr>
              <w:t xml:space="preserve"> </w:t>
            </w:r>
            <w:r w:rsidR="00FC67C3">
              <w:rPr>
                <w:sz w:val="22"/>
                <w:szCs w:val="22"/>
              </w:rPr>
              <w:t>% CI</w:t>
            </w:r>
          </w:p>
        </w:tc>
        <w:tc>
          <w:tcPr>
            <w:tcW w:w="2969" w:type="dxa"/>
            <w:gridSpan w:val="3"/>
          </w:tcPr>
          <w:p w14:paraId="3C114B45" w14:textId="77777777" w:rsidR="00FC67C3" w:rsidRDefault="00FC67C3">
            <w:pPr>
              <w:autoSpaceDE w:val="0"/>
              <w:autoSpaceDN w:val="0"/>
              <w:adjustRightInd w:val="0"/>
              <w:rPr>
                <w:sz w:val="22"/>
                <w:szCs w:val="22"/>
              </w:rPr>
            </w:pPr>
            <w:r>
              <w:rPr>
                <w:sz w:val="22"/>
                <w:szCs w:val="22"/>
              </w:rPr>
              <w:t>0,85 až 1,12</w:t>
            </w:r>
          </w:p>
        </w:tc>
        <w:tc>
          <w:tcPr>
            <w:tcW w:w="2952" w:type="dxa"/>
            <w:gridSpan w:val="3"/>
          </w:tcPr>
          <w:p w14:paraId="7E816902" w14:textId="77777777" w:rsidR="00FC67C3" w:rsidRDefault="00FC67C3">
            <w:pPr>
              <w:autoSpaceDE w:val="0"/>
              <w:autoSpaceDN w:val="0"/>
              <w:adjustRightInd w:val="0"/>
              <w:rPr>
                <w:sz w:val="22"/>
                <w:szCs w:val="22"/>
              </w:rPr>
            </w:pPr>
            <w:r>
              <w:rPr>
                <w:sz w:val="22"/>
                <w:szCs w:val="22"/>
              </w:rPr>
              <w:t>0,83 až 1,14</w:t>
            </w:r>
          </w:p>
        </w:tc>
      </w:tr>
      <w:tr w:rsidR="00FC67C3" w14:paraId="02E783CE" w14:textId="77777777">
        <w:tc>
          <w:tcPr>
            <w:tcW w:w="2883" w:type="dxa"/>
          </w:tcPr>
          <w:p w14:paraId="1DDDA43E" w14:textId="77777777" w:rsidR="00FC67C3" w:rsidRDefault="00FC67C3">
            <w:pPr>
              <w:autoSpaceDE w:val="0"/>
              <w:autoSpaceDN w:val="0"/>
              <w:adjustRightInd w:val="0"/>
              <w:rPr>
                <w:sz w:val="22"/>
                <w:szCs w:val="22"/>
              </w:rPr>
            </w:pPr>
            <w:r>
              <w:rPr>
                <w:sz w:val="22"/>
                <w:szCs w:val="22"/>
              </w:rPr>
              <w:t>Hodnota p</w:t>
            </w:r>
          </w:p>
        </w:tc>
        <w:tc>
          <w:tcPr>
            <w:tcW w:w="2969" w:type="dxa"/>
            <w:gridSpan w:val="3"/>
          </w:tcPr>
          <w:p w14:paraId="5AF29838" w14:textId="77777777" w:rsidR="00FC67C3" w:rsidRDefault="00FC67C3">
            <w:pPr>
              <w:autoSpaceDE w:val="0"/>
              <w:autoSpaceDN w:val="0"/>
              <w:adjustRightInd w:val="0"/>
              <w:rPr>
                <w:sz w:val="22"/>
                <w:szCs w:val="22"/>
              </w:rPr>
            </w:pPr>
            <w:r>
              <w:rPr>
                <w:sz w:val="22"/>
                <w:szCs w:val="22"/>
              </w:rPr>
              <w:t>0,7142</w:t>
            </w:r>
          </w:p>
        </w:tc>
        <w:tc>
          <w:tcPr>
            <w:tcW w:w="2952" w:type="dxa"/>
            <w:gridSpan w:val="3"/>
          </w:tcPr>
          <w:p w14:paraId="27C670F1" w14:textId="77777777" w:rsidR="00FC67C3" w:rsidRDefault="00FC67C3">
            <w:pPr>
              <w:autoSpaceDE w:val="0"/>
              <w:autoSpaceDN w:val="0"/>
              <w:adjustRightInd w:val="0"/>
              <w:rPr>
                <w:sz w:val="22"/>
                <w:szCs w:val="22"/>
              </w:rPr>
            </w:pPr>
            <w:r>
              <w:rPr>
                <w:sz w:val="22"/>
                <w:szCs w:val="22"/>
              </w:rPr>
              <w:t>0,7339</w:t>
            </w:r>
          </w:p>
        </w:tc>
      </w:tr>
    </w:tbl>
    <w:p w14:paraId="06B8166F" w14:textId="77777777" w:rsidR="00FC67C3" w:rsidRDefault="00FC67C3">
      <w:pPr>
        <w:autoSpaceDE w:val="0"/>
        <w:autoSpaceDN w:val="0"/>
        <w:adjustRightInd w:val="0"/>
        <w:rPr>
          <w:sz w:val="22"/>
          <w:szCs w:val="22"/>
        </w:rPr>
      </w:pPr>
    </w:p>
    <w:p w14:paraId="5F415453" w14:textId="77777777" w:rsidR="00FC67C3" w:rsidRDefault="00FC67C3">
      <w:pPr>
        <w:autoSpaceDE w:val="0"/>
        <w:autoSpaceDN w:val="0"/>
        <w:adjustRightInd w:val="0"/>
        <w:rPr>
          <w:sz w:val="22"/>
          <w:szCs w:val="22"/>
        </w:rPr>
      </w:pPr>
      <w:r>
        <w:rPr>
          <w:sz w:val="22"/>
          <w:szCs w:val="22"/>
          <w:vertAlign w:val="superscript"/>
        </w:rPr>
        <w:t>a</w:t>
      </w:r>
      <w:r>
        <w:rPr>
          <w:sz w:val="22"/>
          <w:szCs w:val="22"/>
          <w:vertAlign w:val="superscript"/>
        </w:rPr>
        <w:tab/>
        <w:t> </w:t>
      </w:r>
      <w:r>
        <w:rPr>
          <w:sz w:val="22"/>
          <w:szCs w:val="22"/>
        </w:rPr>
        <w:t xml:space="preserve">Prežívanie bez ochorenia zahŕňa všetky </w:t>
      </w:r>
      <w:r w:rsidR="00393644">
        <w:rPr>
          <w:sz w:val="22"/>
          <w:szCs w:val="22"/>
        </w:rPr>
        <w:t>prípady návratu ochorenia</w:t>
      </w:r>
      <w:r>
        <w:rPr>
          <w:sz w:val="22"/>
          <w:szCs w:val="22"/>
        </w:rPr>
        <w:t xml:space="preserve"> a je definované ako prvý výskyt </w:t>
      </w:r>
      <w:proofErr w:type="spellStart"/>
      <w:r>
        <w:rPr>
          <w:sz w:val="22"/>
          <w:szCs w:val="22"/>
        </w:rPr>
        <w:t>loko</w:t>
      </w:r>
      <w:proofErr w:type="spellEnd"/>
      <w:r w:rsidR="00393644">
        <w:rPr>
          <w:sz w:val="22"/>
          <w:szCs w:val="22"/>
        </w:rPr>
        <w:t>-</w:t>
      </w:r>
      <w:r>
        <w:rPr>
          <w:sz w:val="22"/>
          <w:szCs w:val="22"/>
        </w:rPr>
        <w:t>regionálne</w:t>
      </w:r>
      <w:r w:rsidR="00393644">
        <w:rPr>
          <w:sz w:val="22"/>
          <w:szCs w:val="22"/>
        </w:rPr>
        <w:t>ho</w:t>
      </w:r>
      <w:r>
        <w:rPr>
          <w:sz w:val="22"/>
          <w:szCs w:val="22"/>
        </w:rPr>
        <w:t xml:space="preserve"> </w:t>
      </w:r>
      <w:r w:rsidR="00393644">
        <w:rPr>
          <w:sz w:val="22"/>
          <w:szCs w:val="22"/>
        </w:rPr>
        <w:t>návratu ochorenia</w:t>
      </w:r>
      <w:r>
        <w:rPr>
          <w:sz w:val="22"/>
          <w:szCs w:val="22"/>
        </w:rPr>
        <w:t xml:space="preserve">, </w:t>
      </w:r>
      <w:r w:rsidR="00393644">
        <w:rPr>
          <w:sz w:val="22"/>
          <w:szCs w:val="22"/>
        </w:rPr>
        <w:t xml:space="preserve">nového </w:t>
      </w:r>
      <w:proofErr w:type="spellStart"/>
      <w:r>
        <w:rPr>
          <w:sz w:val="22"/>
          <w:szCs w:val="22"/>
        </w:rPr>
        <w:t>kontralateráln</w:t>
      </w:r>
      <w:r w:rsidR="00393644">
        <w:rPr>
          <w:sz w:val="22"/>
          <w:szCs w:val="22"/>
        </w:rPr>
        <w:t>eho</w:t>
      </w:r>
      <w:proofErr w:type="spellEnd"/>
      <w:r>
        <w:rPr>
          <w:sz w:val="22"/>
          <w:szCs w:val="22"/>
        </w:rPr>
        <w:t xml:space="preserve"> </w:t>
      </w:r>
      <w:r w:rsidR="00393644">
        <w:rPr>
          <w:sz w:val="22"/>
          <w:szCs w:val="22"/>
        </w:rPr>
        <w:t>karcinómu prsníka</w:t>
      </w:r>
      <w:r>
        <w:rPr>
          <w:sz w:val="22"/>
          <w:szCs w:val="22"/>
        </w:rPr>
        <w:t xml:space="preserve">, </w:t>
      </w:r>
      <w:r w:rsidR="00393644">
        <w:rPr>
          <w:sz w:val="22"/>
          <w:szCs w:val="22"/>
        </w:rPr>
        <w:t xml:space="preserve">návratu </w:t>
      </w:r>
      <w:r>
        <w:rPr>
          <w:sz w:val="22"/>
          <w:szCs w:val="22"/>
        </w:rPr>
        <w:t>vzdialen</w:t>
      </w:r>
      <w:r w:rsidR="00393644">
        <w:rPr>
          <w:sz w:val="22"/>
          <w:szCs w:val="22"/>
        </w:rPr>
        <w:t>ého</w:t>
      </w:r>
      <w:r>
        <w:rPr>
          <w:sz w:val="22"/>
          <w:szCs w:val="22"/>
        </w:rPr>
        <w:t xml:space="preserve"> </w:t>
      </w:r>
      <w:r w:rsidR="00393644">
        <w:rPr>
          <w:sz w:val="22"/>
          <w:szCs w:val="22"/>
        </w:rPr>
        <w:t>ochorenia</w:t>
      </w:r>
      <w:r>
        <w:rPr>
          <w:sz w:val="22"/>
          <w:szCs w:val="22"/>
        </w:rPr>
        <w:t xml:space="preserve"> alebo </w:t>
      </w:r>
      <w:r w:rsidR="00393644">
        <w:rPr>
          <w:sz w:val="22"/>
          <w:szCs w:val="22"/>
        </w:rPr>
        <w:t>ú</w:t>
      </w:r>
      <w:r>
        <w:rPr>
          <w:sz w:val="22"/>
          <w:szCs w:val="22"/>
        </w:rPr>
        <w:t>mr</w:t>
      </w:r>
      <w:r w:rsidR="00393644">
        <w:rPr>
          <w:sz w:val="22"/>
          <w:szCs w:val="22"/>
        </w:rPr>
        <w:t>tia</w:t>
      </w:r>
      <w:r>
        <w:rPr>
          <w:sz w:val="22"/>
          <w:szCs w:val="22"/>
        </w:rPr>
        <w:t xml:space="preserve"> (z ak</w:t>
      </w:r>
      <w:r w:rsidR="00393644">
        <w:rPr>
          <w:sz w:val="22"/>
          <w:szCs w:val="22"/>
        </w:rPr>
        <w:t>ejkoľvek</w:t>
      </w:r>
      <w:r>
        <w:rPr>
          <w:sz w:val="22"/>
          <w:szCs w:val="22"/>
        </w:rPr>
        <w:t xml:space="preserve"> </w:t>
      </w:r>
      <w:r w:rsidR="00393644">
        <w:rPr>
          <w:sz w:val="22"/>
          <w:szCs w:val="22"/>
        </w:rPr>
        <w:t>príčiny</w:t>
      </w:r>
      <w:r>
        <w:rPr>
          <w:sz w:val="22"/>
          <w:szCs w:val="22"/>
        </w:rPr>
        <w:t>).</w:t>
      </w:r>
    </w:p>
    <w:p w14:paraId="684CE73B" w14:textId="77777777" w:rsidR="00FC67C3" w:rsidRDefault="00FC67C3">
      <w:pPr>
        <w:autoSpaceDE w:val="0"/>
        <w:autoSpaceDN w:val="0"/>
        <w:adjustRightInd w:val="0"/>
        <w:rPr>
          <w:sz w:val="22"/>
          <w:szCs w:val="22"/>
        </w:rPr>
      </w:pPr>
      <w:r>
        <w:rPr>
          <w:sz w:val="22"/>
          <w:szCs w:val="22"/>
          <w:vertAlign w:val="superscript"/>
        </w:rPr>
        <w:t xml:space="preserve">b </w:t>
      </w:r>
      <w:r>
        <w:rPr>
          <w:sz w:val="22"/>
          <w:szCs w:val="22"/>
        </w:rPr>
        <w:tab/>
      </w:r>
      <w:r w:rsidR="004F74C1">
        <w:rPr>
          <w:sz w:val="22"/>
          <w:szCs w:val="22"/>
        </w:rPr>
        <w:t xml:space="preserve">Prežívanie </w:t>
      </w:r>
      <w:r>
        <w:rPr>
          <w:sz w:val="22"/>
          <w:szCs w:val="22"/>
        </w:rPr>
        <w:t xml:space="preserve">bez </w:t>
      </w:r>
      <w:r w:rsidR="004F74C1">
        <w:rPr>
          <w:sz w:val="22"/>
          <w:szCs w:val="22"/>
        </w:rPr>
        <w:t xml:space="preserve">vzdialeného </w:t>
      </w:r>
      <w:r>
        <w:rPr>
          <w:sz w:val="22"/>
          <w:szCs w:val="22"/>
        </w:rPr>
        <w:t>ochorenia sa definuje ako prvý výskyt vzdialen</w:t>
      </w:r>
      <w:r w:rsidR="004F74C1">
        <w:rPr>
          <w:sz w:val="22"/>
          <w:szCs w:val="22"/>
        </w:rPr>
        <w:t>ého</w:t>
      </w:r>
      <w:r>
        <w:rPr>
          <w:sz w:val="22"/>
          <w:szCs w:val="22"/>
        </w:rPr>
        <w:t xml:space="preserve"> </w:t>
      </w:r>
      <w:r w:rsidR="004F74C1">
        <w:rPr>
          <w:sz w:val="22"/>
          <w:szCs w:val="22"/>
        </w:rPr>
        <w:t>ochorenia</w:t>
      </w:r>
      <w:r>
        <w:rPr>
          <w:sz w:val="22"/>
          <w:szCs w:val="22"/>
        </w:rPr>
        <w:t xml:space="preserve"> alebo </w:t>
      </w:r>
      <w:r w:rsidR="004F74C1">
        <w:rPr>
          <w:sz w:val="22"/>
          <w:szCs w:val="22"/>
        </w:rPr>
        <w:t>úmrtia</w:t>
      </w:r>
      <w:r>
        <w:rPr>
          <w:sz w:val="22"/>
          <w:szCs w:val="22"/>
        </w:rPr>
        <w:t xml:space="preserve"> (z ak</w:t>
      </w:r>
      <w:r w:rsidR="004F74C1">
        <w:rPr>
          <w:sz w:val="22"/>
          <w:szCs w:val="22"/>
        </w:rPr>
        <w:t>ejkoľvek príčiny</w:t>
      </w:r>
      <w:r>
        <w:rPr>
          <w:sz w:val="22"/>
          <w:szCs w:val="22"/>
        </w:rPr>
        <w:t>).</w:t>
      </w:r>
    </w:p>
    <w:p w14:paraId="694FB359" w14:textId="77777777" w:rsidR="00FC67C3" w:rsidRDefault="00FC67C3">
      <w:pPr>
        <w:autoSpaceDE w:val="0"/>
        <w:autoSpaceDN w:val="0"/>
        <w:adjustRightInd w:val="0"/>
        <w:rPr>
          <w:sz w:val="22"/>
          <w:szCs w:val="22"/>
        </w:rPr>
      </w:pPr>
      <w:r>
        <w:rPr>
          <w:sz w:val="22"/>
          <w:szCs w:val="22"/>
          <w:vertAlign w:val="superscript"/>
        </w:rPr>
        <w:t>c</w:t>
      </w:r>
      <w:r>
        <w:rPr>
          <w:sz w:val="22"/>
          <w:szCs w:val="22"/>
          <w:vertAlign w:val="superscript"/>
        </w:rPr>
        <w:tab/>
      </w:r>
      <w:r w:rsidR="004F74C1">
        <w:rPr>
          <w:sz w:val="22"/>
          <w:szCs w:val="22"/>
        </w:rPr>
        <w:t>Čas do návratu ochorenia</w:t>
      </w:r>
      <w:r>
        <w:rPr>
          <w:sz w:val="22"/>
          <w:szCs w:val="22"/>
        </w:rPr>
        <w:t xml:space="preserve"> sa definuje ako prvý výskyt </w:t>
      </w:r>
      <w:proofErr w:type="spellStart"/>
      <w:r>
        <w:rPr>
          <w:sz w:val="22"/>
          <w:szCs w:val="22"/>
        </w:rPr>
        <w:t>loko</w:t>
      </w:r>
      <w:proofErr w:type="spellEnd"/>
      <w:r w:rsidR="004F74C1">
        <w:rPr>
          <w:sz w:val="22"/>
          <w:szCs w:val="22"/>
        </w:rPr>
        <w:t>-</w:t>
      </w:r>
      <w:r>
        <w:rPr>
          <w:sz w:val="22"/>
          <w:szCs w:val="22"/>
        </w:rPr>
        <w:t>regionálne</w:t>
      </w:r>
      <w:r w:rsidR="004F74C1">
        <w:rPr>
          <w:sz w:val="22"/>
          <w:szCs w:val="22"/>
        </w:rPr>
        <w:t>ho návratu ochorenia</w:t>
      </w:r>
      <w:r>
        <w:rPr>
          <w:sz w:val="22"/>
          <w:szCs w:val="22"/>
        </w:rPr>
        <w:t xml:space="preserve">, </w:t>
      </w:r>
      <w:r w:rsidR="004F74C1">
        <w:rPr>
          <w:sz w:val="22"/>
          <w:szCs w:val="22"/>
        </w:rPr>
        <w:t xml:space="preserve">nového </w:t>
      </w:r>
      <w:proofErr w:type="spellStart"/>
      <w:r>
        <w:rPr>
          <w:sz w:val="22"/>
          <w:szCs w:val="22"/>
        </w:rPr>
        <w:t>kontralaterálne</w:t>
      </w:r>
      <w:r w:rsidR="004F74C1">
        <w:rPr>
          <w:sz w:val="22"/>
          <w:szCs w:val="22"/>
        </w:rPr>
        <w:t>ho</w:t>
      </w:r>
      <w:proofErr w:type="spellEnd"/>
      <w:r w:rsidR="004F74C1">
        <w:rPr>
          <w:sz w:val="22"/>
          <w:szCs w:val="22"/>
        </w:rPr>
        <w:t xml:space="preserve"> karcinómu</w:t>
      </w:r>
      <w:r>
        <w:rPr>
          <w:sz w:val="22"/>
          <w:szCs w:val="22"/>
        </w:rPr>
        <w:t xml:space="preserve"> prsníka, </w:t>
      </w:r>
      <w:r w:rsidR="004F74C1">
        <w:rPr>
          <w:sz w:val="22"/>
          <w:szCs w:val="22"/>
        </w:rPr>
        <w:t xml:space="preserve">návratu </w:t>
      </w:r>
      <w:r>
        <w:rPr>
          <w:sz w:val="22"/>
          <w:szCs w:val="22"/>
        </w:rPr>
        <w:t>vzdialen</w:t>
      </w:r>
      <w:r w:rsidR="004F74C1">
        <w:rPr>
          <w:sz w:val="22"/>
          <w:szCs w:val="22"/>
        </w:rPr>
        <w:t>ého ochorenia</w:t>
      </w:r>
      <w:r>
        <w:rPr>
          <w:sz w:val="22"/>
          <w:szCs w:val="22"/>
        </w:rPr>
        <w:t xml:space="preserve"> alebo </w:t>
      </w:r>
      <w:r w:rsidR="004F74C1">
        <w:rPr>
          <w:sz w:val="22"/>
          <w:szCs w:val="22"/>
        </w:rPr>
        <w:t>úmrtia na karcinóm</w:t>
      </w:r>
      <w:r>
        <w:rPr>
          <w:sz w:val="22"/>
          <w:szCs w:val="22"/>
        </w:rPr>
        <w:t xml:space="preserve"> prsníka.</w:t>
      </w:r>
    </w:p>
    <w:p w14:paraId="31A05345" w14:textId="77777777" w:rsidR="00FC67C3" w:rsidRDefault="00FC67C3">
      <w:pPr>
        <w:autoSpaceDE w:val="0"/>
        <w:autoSpaceDN w:val="0"/>
        <w:adjustRightInd w:val="0"/>
        <w:rPr>
          <w:sz w:val="22"/>
          <w:szCs w:val="22"/>
        </w:rPr>
      </w:pPr>
      <w:r>
        <w:rPr>
          <w:sz w:val="22"/>
          <w:szCs w:val="22"/>
          <w:vertAlign w:val="superscript"/>
        </w:rPr>
        <w:t>d</w:t>
      </w:r>
      <w:r>
        <w:rPr>
          <w:sz w:val="22"/>
          <w:szCs w:val="22"/>
        </w:rPr>
        <w:tab/>
      </w:r>
      <w:r w:rsidR="004F74C1">
        <w:rPr>
          <w:sz w:val="22"/>
          <w:szCs w:val="22"/>
        </w:rPr>
        <w:t>Čas do návratu ochorenia</w:t>
      </w:r>
      <w:r>
        <w:rPr>
          <w:sz w:val="22"/>
          <w:szCs w:val="22"/>
        </w:rPr>
        <w:t xml:space="preserve"> sa definuje ako prvý výskyt </w:t>
      </w:r>
      <w:r w:rsidR="004F74C1">
        <w:rPr>
          <w:sz w:val="22"/>
          <w:szCs w:val="22"/>
        </w:rPr>
        <w:t xml:space="preserve">návratu </w:t>
      </w:r>
      <w:r>
        <w:rPr>
          <w:sz w:val="22"/>
          <w:szCs w:val="22"/>
        </w:rPr>
        <w:t>vzdialen</w:t>
      </w:r>
      <w:r w:rsidR="004F74C1">
        <w:rPr>
          <w:sz w:val="22"/>
          <w:szCs w:val="22"/>
        </w:rPr>
        <w:t>ého ochorenia</w:t>
      </w:r>
      <w:r>
        <w:rPr>
          <w:sz w:val="22"/>
          <w:szCs w:val="22"/>
        </w:rPr>
        <w:t xml:space="preserve"> alebo </w:t>
      </w:r>
      <w:r w:rsidR="004F74C1">
        <w:rPr>
          <w:sz w:val="22"/>
          <w:szCs w:val="22"/>
        </w:rPr>
        <w:t>úmrtia na karcinóm</w:t>
      </w:r>
      <w:r>
        <w:rPr>
          <w:sz w:val="22"/>
          <w:szCs w:val="22"/>
        </w:rPr>
        <w:t xml:space="preserve"> prsníka.</w:t>
      </w:r>
    </w:p>
    <w:p w14:paraId="6EA75428" w14:textId="77777777" w:rsidR="00FC67C3" w:rsidRDefault="00FC67C3">
      <w:pPr>
        <w:autoSpaceDE w:val="0"/>
        <w:autoSpaceDN w:val="0"/>
        <w:adjustRightInd w:val="0"/>
        <w:rPr>
          <w:sz w:val="22"/>
          <w:szCs w:val="22"/>
        </w:rPr>
      </w:pPr>
      <w:r>
        <w:rPr>
          <w:sz w:val="22"/>
          <w:szCs w:val="22"/>
          <w:vertAlign w:val="superscript"/>
        </w:rPr>
        <w:t>e</w:t>
      </w:r>
      <w:r>
        <w:rPr>
          <w:sz w:val="22"/>
          <w:szCs w:val="22"/>
        </w:rPr>
        <w:tab/>
        <w:t xml:space="preserve">Počet (%) </w:t>
      </w:r>
      <w:proofErr w:type="spellStart"/>
      <w:r>
        <w:rPr>
          <w:sz w:val="22"/>
          <w:szCs w:val="22"/>
        </w:rPr>
        <w:t>paciento</w:t>
      </w:r>
      <w:r w:rsidR="004207C7">
        <w:rPr>
          <w:sz w:val="22"/>
          <w:szCs w:val="22"/>
        </w:rPr>
        <w:t>k</w:t>
      </w:r>
      <w:proofErr w:type="spellEnd"/>
      <w:r>
        <w:rPr>
          <w:sz w:val="22"/>
          <w:szCs w:val="22"/>
        </w:rPr>
        <w:t>, ktor</w:t>
      </w:r>
      <w:r w:rsidR="004207C7">
        <w:rPr>
          <w:sz w:val="22"/>
          <w:szCs w:val="22"/>
        </w:rPr>
        <w:t>é</w:t>
      </w:r>
      <w:r>
        <w:rPr>
          <w:sz w:val="22"/>
          <w:szCs w:val="22"/>
        </w:rPr>
        <w:t xml:space="preserve"> zomreli.</w:t>
      </w:r>
    </w:p>
    <w:p w14:paraId="2454776C" w14:textId="77777777" w:rsidR="00FC67C3" w:rsidRDefault="00FC67C3" w:rsidP="004205F0">
      <w:pPr>
        <w:autoSpaceDE w:val="0"/>
        <w:autoSpaceDN w:val="0"/>
        <w:adjustRightInd w:val="0"/>
        <w:rPr>
          <w:sz w:val="22"/>
          <w:szCs w:val="22"/>
        </w:rPr>
      </w:pPr>
    </w:p>
    <w:p w14:paraId="57762B7F" w14:textId="77777777" w:rsidR="004205F0" w:rsidRPr="002F32F0" w:rsidRDefault="004205F0" w:rsidP="002F32F0">
      <w:pPr>
        <w:autoSpaceDE w:val="0"/>
        <w:autoSpaceDN w:val="0"/>
        <w:adjustRightInd w:val="0"/>
        <w:rPr>
          <w:sz w:val="22"/>
          <w:szCs w:val="22"/>
          <w:lang w:val="sv-SE"/>
        </w:rPr>
      </w:pPr>
      <w:r w:rsidRPr="00D929C5">
        <w:rPr>
          <w:sz w:val="22"/>
          <w:szCs w:val="22"/>
          <w:lang w:val="sv-SE"/>
        </w:rPr>
        <w:lastRenderedPageBreak/>
        <w:t>Kombinácia anastrozolu a tamoxif</w:t>
      </w:r>
      <w:r>
        <w:rPr>
          <w:sz w:val="22"/>
          <w:szCs w:val="22"/>
          <w:lang w:val="sv-SE"/>
        </w:rPr>
        <w:t>énu v porovnaní s tamoxifé</w:t>
      </w:r>
      <w:r w:rsidRPr="00D929C5">
        <w:rPr>
          <w:sz w:val="22"/>
          <w:szCs w:val="22"/>
          <w:lang w:val="sv-SE"/>
        </w:rPr>
        <w:t xml:space="preserve">nom nepreukázala žiadne prínosy v účinnosti u všetkých pacientok, ani u populácie pozitívnej na hormonálne receptory. </w:t>
      </w:r>
      <w:r w:rsidRPr="00D929C5">
        <w:rPr>
          <w:sz w:val="22"/>
          <w:szCs w:val="22"/>
        </w:rPr>
        <w:t>Liečba v tejto skupine sa v priebehu štúdie ukončila.</w:t>
      </w:r>
    </w:p>
    <w:p w14:paraId="6B6F88FE" w14:textId="77777777" w:rsidR="004205F0" w:rsidRPr="002F32F0" w:rsidRDefault="004205F0" w:rsidP="002F32F0">
      <w:pPr>
        <w:rPr>
          <w:b/>
          <w:bCs/>
          <w:sz w:val="22"/>
          <w:szCs w:val="22"/>
        </w:rPr>
      </w:pPr>
      <w:r w:rsidRPr="00D929C5">
        <w:rPr>
          <w:sz w:val="22"/>
          <w:szCs w:val="22"/>
        </w:rPr>
        <w:t xml:space="preserve">Po sledovaní s mediánom 10 rokov sa s odstupom času opäť porovnali liečebné účinky </w:t>
      </w:r>
      <w:proofErr w:type="spellStart"/>
      <w:r w:rsidRPr="00D929C5">
        <w:rPr>
          <w:sz w:val="22"/>
          <w:szCs w:val="22"/>
        </w:rPr>
        <w:t>anastrozolu</w:t>
      </w:r>
      <w:proofErr w:type="spellEnd"/>
      <w:r w:rsidRPr="00D929C5">
        <w:rPr>
          <w:sz w:val="22"/>
          <w:szCs w:val="22"/>
        </w:rPr>
        <w:t xml:space="preserve"> v porovnaní s </w:t>
      </w:r>
      <w:proofErr w:type="spellStart"/>
      <w:r w:rsidRPr="00D929C5">
        <w:rPr>
          <w:sz w:val="22"/>
          <w:szCs w:val="22"/>
        </w:rPr>
        <w:t>tamoxifenom</w:t>
      </w:r>
      <w:proofErr w:type="spellEnd"/>
      <w:r w:rsidRPr="00D929C5">
        <w:rPr>
          <w:sz w:val="22"/>
          <w:szCs w:val="22"/>
        </w:rPr>
        <w:t>. Výsledky boli v súlade z predchádzajúcimi analýzami.</w:t>
      </w:r>
    </w:p>
    <w:p w14:paraId="30E75AA8" w14:textId="77777777" w:rsidR="004205F0" w:rsidRDefault="004205F0" w:rsidP="004205F0">
      <w:pPr>
        <w:rPr>
          <w:i/>
          <w:iCs/>
          <w:sz w:val="22"/>
          <w:szCs w:val="22"/>
        </w:rPr>
      </w:pPr>
    </w:p>
    <w:p w14:paraId="368DA58A" w14:textId="77777777" w:rsidR="004205F0" w:rsidRPr="00D929C5" w:rsidRDefault="004205F0" w:rsidP="004205F0">
      <w:pPr>
        <w:rPr>
          <w:i/>
          <w:iCs/>
          <w:sz w:val="22"/>
          <w:szCs w:val="22"/>
        </w:rPr>
      </w:pPr>
      <w:proofErr w:type="spellStart"/>
      <w:r w:rsidRPr="00D929C5">
        <w:rPr>
          <w:i/>
          <w:iCs/>
          <w:sz w:val="22"/>
          <w:szCs w:val="22"/>
        </w:rPr>
        <w:t>Adjuvantná</w:t>
      </w:r>
      <w:proofErr w:type="spellEnd"/>
      <w:r w:rsidRPr="00D929C5">
        <w:rPr>
          <w:i/>
          <w:iCs/>
          <w:sz w:val="22"/>
          <w:szCs w:val="22"/>
        </w:rPr>
        <w:t xml:space="preserve"> liečba včasného invazívneho karcinómu prsníka pozitívneho na hormonálne receptory u </w:t>
      </w:r>
      <w:proofErr w:type="spellStart"/>
      <w:r w:rsidRPr="00D929C5">
        <w:rPr>
          <w:i/>
          <w:iCs/>
          <w:sz w:val="22"/>
          <w:szCs w:val="22"/>
        </w:rPr>
        <w:t>pacientok</w:t>
      </w:r>
      <w:proofErr w:type="spellEnd"/>
      <w:r w:rsidRPr="00D929C5">
        <w:rPr>
          <w:i/>
          <w:iCs/>
          <w:sz w:val="22"/>
          <w:szCs w:val="22"/>
        </w:rPr>
        <w:t xml:space="preserve"> liečených </w:t>
      </w:r>
      <w:proofErr w:type="spellStart"/>
      <w:r w:rsidRPr="00D929C5">
        <w:rPr>
          <w:i/>
          <w:iCs/>
          <w:sz w:val="22"/>
          <w:szCs w:val="22"/>
        </w:rPr>
        <w:t>adjuvantným</w:t>
      </w:r>
      <w:proofErr w:type="spellEnd"/>
      <w:r w:rsidRPr="00D929C5">
        <w:rPr>
          <w:i/>
          <w:iCs/>
          <w:sz w:val="22"/>
          <w:szCs w:val="22"/>
        </w:rPr>
        <w:t xml:space="preserve"> </w:t>
      </w:r>
      <w:proofErr w:type="spellStart"/>
      <w:r w:rsidRPr="00D929C5">
        <w:rPr>
          <w:i/>
          <w:iCs/>
          <w:sz w:val="22"/>
          <w:szCs w:val="22"/>
        </w:rPr>
        <w:t>tamoxif</w:t>
      </w:r>
      <w:r>
        <w:rPr>
          <w:i/>
          <w:iCs/>
          <w:sz w:val="22"/>
          <w:szCs w:val="22"/>
        </w:rPr>
        <w:t>é</w:t>
      </w:r>
      <w:r w:rsidRPr="00D929C5">
        <w:rPr>
          <w:i/>
          <w:iCs/>
          <w:sz w:val="22"/>
          <w:szCs w:val="22"/>
        </w:rPr>
        <w:t>nom</w:t>
      </w:r>
      <w:proofErr w:type="spellEnd"/>
    </w:p>
    <w:p w14:paraId="7314760C" w14:textId="77777777" w:rsidR="004205F0" w:rsidRPr="00D929C5" w:rsidRDefault="004205F0" w:rsidP="004205F0">
      <w:pPr>
        <w:rPr>
          <w:sz w:val="22"/>
          <w:szCs w:val="22"/>
        </w:rPr>
      </w:pPr>
      <w:r w:rsidRPr="00D929C5">
        <w:rPr>
          <w:sz w:val="22"/>
          <w:szCs w:val="22"/>
        </w:rPr>
        <w:t>V klinickej štúdii fázy III (</w:t>
      </w:r>
      <w:proofErr w:type="spellStart"/>
      <w:r w:rsidRPr="00D929C5">
        <w:rPr>
          <w:sz w:val="22"/>
          <w:szCs w:val="22"/>
        </w:rPr>
        <w:t>Austrian</w:t>
      </w:r>
      <w:proofErr w:type="spellEnd"/>
      <w:r w:rsidRPr="00D929C5">
        <w:rPr>
          <w:sz w:val="22"/>
          <w:szCs w:val="22"/>
        </w:rPr>
        <w:t xml:space="preserve"> </w:t>
      </w:r>
      <w:proofErr w:type="spellStart"/>
      <w:r w:rsidRPr="00D929C5">
        <w:rPr>
          <w:sz w:val="22"/>
          <w:szCs w:val="22"/>
        </w:rPr>
        <w:t>Breast</w:t>
      </w:r>
      <w:proofErr w:type="spellEnd"/>
      <w:r w:rsidRPr="00D929C5">
        <w:rPr>
          <w:sz w:val="22"/>
          <w:szCs w:val="22"/>
        </w:rPr>
        <w:t xml:space="preserve"> and </w:t>
      </w:r>
      <w:proofErr w:type="spellStart"/>
      <w:r w:rsidRPr="00D929C5">
        <w:rPr>
          <w:sz w:val="22"/>
          <w:szCs w:val="22"/>
        </w:rPr>
        <w:t>Colorectal</w:t>
      </w:r>
      <w:proofErr w:type="spellEnd"/>
      <w:r w:rsidRPr="00D929C5">
        <w:rPr>
          <w:sz w:val="22"/>
          <w:szCs w:val="22"/>
        </w:rPr>
        <w:t xml:space="preserve"> </w:t>
      </w:r>
      <w:proofErr w:type="spellStart"/>
      <w:r w:rsidRPr="00D929C5">
        <w:rPr>
          <w:sz w:val="22"/>
          <w:szCs w:val="22"/>
        </w:rPr>
        <w:t>Cancer</w:t>
      </w:r>
      <w:proofErr w:type="spellEnd"/>
      <w:r w:rsidRPr="00D929C5">
        <w:rPr>
          <w:sz w:val="22"/>
          <w:szCs w:val="22"/>
        </w:rPr>
        <w:t xml:space="preserve"> Study Group [ABCSG] 8), ktorej sa zúčastnilo 2 579 žien po </w:t>
      </w:r>
      <w:proofErr w:type="spellStart"/>
      <w:r w:rsidRPr="00D929C5">
        <w:rPr>
          <w:sz w:val="22"/>
          <w:szCs w:val="22"/>
        </w:rPr>
        <w:t>menopauze</w:t>
      </w:r>
      <w:proofErr w:type="spellEnd"/>
      <w:r w:rsidRPr="00D929C5">
        <w:rPr>
          <w:sz w:val="22"/>
          <w:szCs w:val="22"/>
        </w:rPr>
        <w:t xml:space="preserve"> so včasným karcinómom prsníka pozitívnym na hormonálne receptory, ktoré podstúpili chirurgický zákrok s rádioterapiou alebo bez nej a  bez chemoterapie (pozri nižšie), sa po sledovaní s mediánom 24 mesiacov zistilo, že prechod na liečbu </w:t>
      </w:r>
      <w:proofErr w:type="spellStart"/>
      <w:r w:rsidRPr="00D929C5">
        <w:rPr>
          <w:sz w:val="22"/>
          <w:szCs w:val="22"/>
        </w:rPr>
        <w:t>anastrozolom</w:t>
      </w:r>
      <w:proofErr w:type="spellEnd"/>
      <w:r w:rsidRPr="00D929C5">
        <w:rPr>
          <w:sz w:val="22"/>
          <w:szCs w:val="22"/>
        </w:rPr>
        <w:t xml:space="preserve"> po 2 rokoch </w:t>
      </w:r>
      <w:proofErr w:type="spellStart"/>
      <w:r w:rsidRPr="00D929C5">
        <w:rPr>
          <w:sz w:val="22"/>
          <w:szCs w:val="22"/>
        </w:rPr>
        <w:t>adjuvantnej</w:t>
      </w:r>
      <w:proofErr w:type="spellEnd"/>
      <w:r w:rsidRPr="00D929C5">
        <w:rPr>
          <w:sz w:val="22"/>
          <w:szCs w:val="22"/>
        </w:rPr>
        <w:t xml:space="preserve"> liečby </w:t>
      </w:r>
      <w:proofErr w:type="spellStart"/>
      <w:r w:rsidRPr="00D929C5">
        <w:rPr>
          <w:sz w:val="22"/>
          <w:szCs w:val="22"/>
        </w:rPr>
        <w:t>tamoxifenom</w:t>
      </w:r>
      <w:proofErr w:type="spellEnd"/>
      <w:r w:rsidRPr="00D929C5">
        <w:rPr>
          <w:sz w:val="22"/>
          <w:szCs w:val="22"/>
        </w:rPr>
        <w:t xml:space="preserve"> spôsobil štatisticky lepšie výsledky prežívania bez ochorenia v porovnaní s pacientkami, ktoré pokračovali v liečbe </w:t>
      </w:r>
      <w:proofErr w:type="spellStart"/>
      <w:r w:rsidRPr="00D929C5">
        <w:rPr>
          <w:sz w:val="22"/>
          <w:szCs w:val="22"/>
        </w:rPr>
        <w:t>tamoxif</w:t>
      </w:r>
      <w:r>
        <w:rPr>
          <w:sz w:val="22"/>
          <w:szCs w:val="22"/>
        </w:rPr>
        <w:t>é</w:t>
      </w:r>
      <w:r w:rsidRPr="00D929C5">
        <w:rPr>
          <w:sz w:val="22"/>
          <w:szCs w:val="22"/>
        </w:rPr>
        <w:t>nom</w:t>
      </w:r>
      <w:proofErr w:type="spellEnd"/>
      <w:r w:rsidRPr="00D929C5">
        <w:rPr>
          <w:sz w:val="22"/>
          <w:szCs w:val="22"/>
        </w:rPr>
        <w:t>.</w:t>
      </w:r>
    </w:p>
    <w:p w14:paraId="73019F2B" w14:textId="77777777" w:rsidR="00FC67C3" w:rsidRDefault="00FC67C3">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8"/>
        <w:gridCol w:w="2273"/>
        <w:gridCol w:w="2273"/>
      </w:tblGrid>
      <w:tr w:rsidR="00FC67C3" w14:paraId="74B3C880" w14:textId="77777777">
        <w:tc>
          <w:tcPr>
            <w:tcW w:w="9212" w:type="dxa"/>
            <w:gridSpan w:val="3"/>
            <w:tcBorders>
              <w:bottom w:val="single" w:sz="4" w:space="0" w:color="auto"/>
            </w:tcBorders>
            <w:shd w:val="clear" w:color="auto" w:fill="A6A6A6"/>
          </w:tcPr>
          <w:p w14:paraId="20443BB8" w14:textId="77777777" w:rsidR="00FC67C3" w:rsidRDefault="004205F0" w:rsidP="004205F0">
            <w:pPr>
              <w:pStyle w:val="Textkomentra"/>
              <w:rPr>
                <w:sz w:val="22"/>
              </w:rPr>
            </w:pPr>
            <w:r>
              <w:t xml:space="preserve">Tabuľka 4 Súhrn koncových ukazovateľov a výsledkov zo štúdie </w:t>
            </w:r>
            <w:r w:rsidR="00FC67C3">
              <w:t>ABCSG 8</w:t>
            </w:r>
          </w:p>
        </w:tc>
      </w:tr>
      <w:tr w:rsidR="00FC67C3" w14:paraId="5D7A925F" w14:textId="77777777">
        <w:trPr>
          <w:cantSplit/>
        </w:trPr>
        <w:tc>
          <w:tcPr>
            <w:tcW w:w="4606" w:type="dxa"/>
            <w:vMerge w:val="restart"/>
            <w:shd w:val="clear" w:color="auto" w:fill="CCCCCC"/>
          </w:tcPr>
          <w:p w14:paraId="301FBB5B" w14:textId="77777777" w:rsidR="00FC67C3" w:rsidRDefault="00FC67C3">
            <w:pPr>
              <w:pStyle w:val="Textkomentra"/>
              <w:rPr>
                <w:sz w:val="22"/>
              </w:rPr>
            </w:pPr>
            <w:r>
              <w:rPr>
                <w:sz w:val="22"/>
              </w:rPr>
              <w:t>Koncové ukazovatele</w:t>
            </w:r>
          </w:p>
          <w:p w14:paraId="4C63586A" w14:textId="77777777" w:rsidR="00FC67C3" w:rsidRDefault="00FC67C3">
            <w:pPr>
              <w:rPr>
                <w:sz w:val="22"/>
                <w:szCs w:val="22"/>
              </w:rPr>
            </w:pPr>
            <w:r>
              <w:rPr>
                <w:sz w:val="22"/>
                <w:szCs w:val="22"/>
              </w:rPr>
              <w:t xml:space="preserve">účinnosti </w:t>
            </w:r>
          </w:p>
          <w:p w14:paraId="1A43C9DB" w14:textId="77777777" w:rsidR="00FC67C3" w:rsidRDefault="00FC67C3">
            <w:pPr>
              <w:rPr>
                <w:sz w:val="22"/>
                <w:szCs w:val="22"/>
              </w:rPr>
            </w:pPr>
          </w:p>
        </w:tc>
        <w:tc>
          <w:tcPr>
            <w:tcW w:w="4606" w:type="dxa"/>
            <w:gridSpan w:val="2"/>
            <w:shd w:val="clear" w:color="auto" w:fill="CCCCCC"/>
          </w:tcPr>
          <w:p w14:paraId="35A386E3" w14:textId="77777777" w:rsidR="00FC67C3" w:rsidRDefault="00FC67C3" w:rsidP="004205F0">
            <w:pPr>
              <w:rPr>
                <w:sz w:val="22"/>
                <w:szCs w:val="22"/>
              </w:rPr>
            </w:pPr>
            <w:r>
              <w:rPr>
                <w:sz w:val="22"/>
                <w:szCs w:val="22"/>
              </w:rPr>
              <w:t xml:space="preserve">Počet </w:t>
            </w:r>
            <w:r w:rsidR="004205F0">
              <w:rPr>
                <w:sz w:val="22"/>
                <w:szCs w:val="22"/>
              </w:rPr>
              <w:t>udalostí</w:t>
            </w:r>
            <w:r>
              <w:rPr>
                <w:sz w:val="22"/>
                <w:szCs w:val="22"/>
              </w:rPr>
              <w:t xml:space="preserve"> (frekvencia)</w:t>
            </w:r>
          </w:p>
        </w:tc>
      </w:tr>
      <w:tr w:rsidR="00FC67C3" w14:paraId="5CE0E85F" w14:textId="77777777">
        <w:trPr>
          <w:cantSplit/>
        </w:trPr>
        <w:tc>
          <w:tcPr>
            <w:tcW w:w="4606" w:type="dxa"/>
            <w:vMerge/>
            <w:tcBorders>
              <w:bottom w:val="single" w:sz="4" w:space="0" w:color="auto"/>
            </w:tcBorders>
          </w:tcPr>
          <w:p w14:paraId="424E3388" w14:textId="77777777" w:rsidR="00FC67C3" w:rsidRDefault="00FC67C3">
            <w:pPr>
              <w:rPr>
                <w:sz w:val="22"/>
                <w:szCs w:val="22"/>
              </w:rPr>
            </w:pPr>
          </w:p>
        </w:tc>
        <w:tc>
          <w:tcPr>
            <w:tcW w:w="2303" w:type="dxa"/>
            <w:shd w:val="clear" w:color="auto" w:fill="CCCCCC"/>
          </w:tcPr>
          <w:p w14:paraId="4D1BCD42" w14:textId="77777777" w:rsidR="00FC67C3" w:rsidRDefault="00FC67C3">
            <w:pPr>
              <w:rPr>
                <w:sz w:val="22"/>
                <w:szCs w:val="22"/>
              </w:rPr>
            </w:pPr>
            <w:proofErr w:type="spellStart"/>
            <w:r>
              <w:rPr>
                <w:sz w:val="22"/>
                <w:szCs w:val="22"/>
              </w:rPr>
              <w:t>anastrozol</w:t>
            </w:r>
            <w:proofErr w:type="spellEnd"/>
          </w:p>
          <w:p w14:paraId="3E9E498C" w14:textId="77777777" w:rsidR="00FC67C3" w:rsidRDefault="00FC67C3">
            <w:pPr>
              <w:rPr>
                <w:sz w:val="22"/>
                <w:szCs w:val="22"/>
              </w:rPr>
            </w:pPr>
            <w:r>
              <w:rPr>
                <w:sz w:val="22"/>
                <w:szCs w:val="22"/>
              </w:rPr>
              <w:t>(n= 1297)</w:t>
            </w:r>
          </w:p>
        </w:tc>
        <w:tc>
          <w:tcPr>
            <w:tcW w:w="2303" w:type="dxa"/>
            <w:shd w:val="clear" w:color="auto" w:fill="CCCCCC"/>
          </w:tcPr>
          <w:p w14:paraId="59786144" w14:textId="77777777" w:rsidR="00FC67C3" w:rsidRDefault="00FC67C3">
            <w:pPr>
              <w:rPr>
                <w:sz w:val="22"/>
                <w:szCs w:val="22"/>
              </w:rPr>
            </w:pPr>
            <w:proofErr w:type="spellStart"/>
            <w:r>
              <w:rPr>
                <w:sz w:val="22"/>
                <w:szCs w:val="22"/>
              </w:rPr>
              <w:t>tamoxifén</w:t>
            </w:r>
            <w:proofErr w:type="spellEnd"/>
          </w:p>
          <w:p w14:paraId="7A384CA2" w14:textId="77777777" w:rsidR="00FC67C3" w:rsidRDefault="00FC67C3">
            <w:pPr>
              <w:rPr>
                <w:sz w:val="22"/>
                <w:szCs w:val="22"/>
              </w:rPr>
            </w:pPr>
            <w:r>
              <w:rPr>
                <w:sz w:val="22"/>
                <w:szCs w:val="22"/>
              </w:rPr>
              <w:t>(n=1282)</w:t>
            </w:r>
          </w:p>
        </w:tc>
      </w:tr>
      <w:tr w:rsidR="00FC67C3" w14:paraId="053CAABC" w14:textId="77777777">
        <w:tc>
          <w:tcPr>
            <w:tcW w:w="4606" w:type="dxa"/>
            <w:shd w:val="clear" w:color="auto" w:fill="E0E0E0"/>
          </w:tcPr>
          <w:p w14:paraId="3B3F78BA" w14:textId="77777777" w:rsidR="00FC67C3" w:rsidRDefault="00FC67C3">
            <w:pPr>
              <w:rPr>
                <w:sz w:val="22"/>
                <w:szCs w:val="22"/>
              </w:rPr>
            </w:pPr>
            <w:r>
              <w:rPr>
                <w:sz w:val="22"/>
                <w:szCs w:val="22"/>
              </w:rPr>
              <w:t>Prežívanie bez ochorenia</w:t>
            </w:r>
          </w:p>
        </w:tc>
        <w:tc>
          <w:tcPr>
            <w:tcW w:w="2303" w:type="dxa"/>
          </w:tcPr>
          <w:p w14:paraId="0D0746D9" w14:textId="77777777" w:rsidR="00FC67C3" w:rsidRDefault="00FC67C3" w:rsidP="002F32F0">
            <w:pPr>
              <w:jc w:val="center"/>
              <w:rPr>
                <w:sz w:val="22"/>
                <w:szCs w:val="22"/>
              </w:rPr>
            </w:pPr>
            <w:r>
              <w:rPr>
                <w:sz w:val="22"/>
                <w:szCs w:val="22"/>
              </w:rPr>
              <w:t>65 (5,0)</w:t>
            </w:r>
          </w:p>
        </w:tc>
        <w:tc>
          <w:tcPr>
            <w:tcW w:w="2303" w:type="dxa"/>
          </w:tcPr>
          <w:p w14:paraId="6B35AD0D" w14:textId="77777777" w:rsidR="00FC67C3" w:rsidRDefault="00FC67C3" w:rsidP="002F32F0">
            <w:pPr>
              <w:jc w:val="center"/>
              <w:rPr>
                <w:sz w:val="22"/>
                <w:szCs w:val="22"/>
              </w:rPr>
            </w:pPr>
            <w:r>
              <w:rPr>
                <w:sz w:val="22"/>
                <w:szCs w:val="22"/>
              </w:rPr>
              <w:t>93 (7,3)</w:t>
            </w:r>
          </w:p>
        </w:tc>
      </w:tr>
      <w:tr w:rsidR="00FC67C3" w14:paraId="6AF69567" w14:textId="77777777">
        <w:tc>
          <w:tcPr>
            <w:tcW w:w="4606" w:type="dxa"/>
          </w:tcPr>
          <w:p w14:paraId="036EAE11" w14:textId="77777777" w:rsidR="00FC67C3" w:rsidRDefault="00FC67C3" w:rsidP="004205F0">
            <w:pPr>
              <w:rPr>
                <w:sz w:val="22"/>
                <w:szCs w:val="22"/>
              </w:rPr>
            </w:pPr>
            <w:r>
              <w:rPr>
                <w:sz w:val="22"/>
                <w:szCs w:val="22"/>
              </w:rPr>
              <w:t>Pomer riz</w:t>
            </w:r>
            <w:r w:rsidR="004205F0">
              <w:rPr>
                <w:sz w:val="22"/>
                <w:szCs w:val="22"/>
              </w:rPr>
              <w:t>ika</w:t>
            </w:r>
          </w:p>
        </w:tc>
        <w:tc>
          <w:tcPr>
            <w:tcW w:w="4606" w:type="dxa"/>
            <w:gridSpan w:val="2"/>
          </w:tcPr>
          <w:p w14:paraId="48186564" w14:textId="77777777" w:rsidR="00FC67C3" w:rsidRDefault="00FC67C3" w:rsidP="002F32F0">
            <w:pPr>
              <w:jc w:val="center"/>
              <w:rPr>
                <w:sz w:val="22"/>
                <w:szCs w:val="22"/>
              </w:rPr>
            </w:pPr>
            <w:r>
              <w:rPr>
                <w:sz w:val="22"/>
                <w:szCs w:val="22"/>
              </w:rPr>
              <w:t>0,67</w:t>
            </w:r>
          </w:p>
        </w:tc>
      </w:tr>
      <w:tr w:rsidR="00FC67C3" w14:paraId="65ABFDF7" w14:textId="77777777">
        <w:tc>
          <w:tcPr>
            <w:tcW w:w="4606" w:type="dxa"/>
          </w:tcPr>
          <w:p w14:paraId="10CE75B9" w14:textId="77777777" w:rsidR="00FC67C3" w:rsidRDefault="004205F0" w:rsidP="004205F0">
            <w:pPr>
              <w:rPr>
                <w:sz w:val="22"/>
                <w:szCs w:val="22"/>
              </w:rPr>
            </w:pPr>
            <w:r>
              <w:rPr>
                <w:sz w:val="22"/>
                <w:szCs w:val="22"/>
              </w:rPr>
              <w:t>Oboj</w:t>
            </w:r>
            <w:r w:rsidR="00FC67C3">
              <w:rPr>
                <w:sz w:val="22"/>
                <w:szCs w:val="22"/>
              </w:rPr>
              <w:t>stranný 95</w:t>
            </w:r>
            <w:r>
              <w:rPr>
                <w:sz w:val="22"/>
                <w:szCs w:val="22"/>
              </w:rPr>
              <w:t xml:space="preserve"> </w:t>
            </w:r>
            <w:r w:rsidR="00FC67C3">
              <w:rPr>
                <w:sz w:val="22"/>
                <w:szCs w:val="22"/>
              </w:rPr>
              <w:t>%</w:t>
            </w:r>
            <w:r>
              <w:rPr>
                <w:sz w:val="22"/>
                <w:szCs w:val="22"/>
              </w:rPr>
              <w:t xml:space="preserve"> </w:t>
            </w:r>
            <w:r w:rsidR="00FC67C3">
              <w:rPr>
                <w:sz w:val="22"/>
                <w:szCs w:val="22"/>
              </w:rPr>
              <w:t>CI</w:t>
            </w:r>
          </w:p>
        </w:tc>
        <w:tc>
          <w:tcPr>
            <w:tcW w:w="4606" w:type="dxa"/>
            <w:gridSpan w:val="2"/>
          </w:tcPr>
          <w:p w14:paraId="5B8703DC" w14:textId="77777777" w:rsidR="00FC67C3" w:rsidRDefault="00FC67C3" w:rsidP="002F32F0">
            <w:pPr>
              <w:jc w:val="center"/>
              <w:rPr>
                <w:sz w:val="22"/>
                <w:szCs w:val="22"/>
              </w:rPr>
            </w:pPr>
            <w:r>
              <w:rPr>
                <w:sz w:val="22"/>
                <w:szCs w:val="22"/>
              </w:rPr>
              <w:t>0,49 až 0,92</w:t>
            </w:r>
          </w:p>
        </w:tc>
      </w:tr>
      <w:tr w:rsidR="00FC67C3" w14:paraId="4276C8CB" w14:textId="77777777">
        <w:tc>
          <w:tcPr>
            <w:tcW w:w="4606" w:type="dxa"/>
          </w:tcPr>
          <w:p w14:paraId="123ACDEA" w14:textId="77777777" w:rsidR="00FC67C3" w:rsidRDefault="00FC67C3">
            <w:pPr>
              <w:rPr>
                <w:sz w:val="22"/>
                <w:szCs w:val="22"/>
              </w:rPr>
            </w:pPr>
            <w:r>
              <w:rPr>
                <w:sz w:val="22"/>
                <w:szCs w:val="22"/>
              </w:rPr>
              <w:t>Hodnota p</w:t>
            </w:r>
          </w:p>
        </w:tc>
        <w:tc>
          <w:tcPr>
            <w:tcW w:w="4606" w:type="dxa"/>
            <w:gridSpan w:val="2"/>
          </w:tcPr>
          <w:p w14:paraId="74FA5409" w14:textId="77777777" w:rsidR="00FC67C3" w:rsidRDefault="00FC67C3" w:rsidP="002F32F0">
            <w:pPr>
              <w:jc w:val="center"/>
              <w:rPr>
                <w:sz w:val="22"/>
                <w:szCs w:val="22"/>
              </w:rPr>
            </w:pPr>
            <w:r>
              <w:rPr>
                <w:sz w:val="22"/>
                <w:szCs w:val="22"/>
              </w:rPr>
              <w:t>0,014</w:t>
            </w:r>
          </w:p>
        </w:tc>
      </w:tr>
      <w:tr w:rsidR="00FC67C3" w14:paraId="57FEEBEB" w14:textId="77777777">
        <w:tc>
          <w:tcPr>
            <w:tcW w:w="4606" w:type="dxa"/>
          </w:tcPr>
          <w:p w14:paraId="6201E065" w14:textId="77777777" w:rsidR="00FC67C3" w:rsidRDefault="0065110A" w:rsidP="0065110A">
            <w:pPr>
              <w:rPr>
                <w:sz w:val="22"/>
                <w:szCs w:val="22"/>
              </w:rPr>
            </w:pPr>
            <w:r>
              <w:rPr>
                <w:sz w:val="22"/>
                <w:szCs w:val="22"/>
              </w:rPr>
              <w:t>Čas do návratu akéhokoľvek ochorenia</w:t>
            </w:r>
          </w:p>
        </w:tc>
        <w:tc>
          <w:tcPr>
            <w:tcW w:w="2303" w:type="dxa"/>
          </w:tcPr>
          <w:p w14:paraId="7D0A7BEC" w14:textId="77777777" w:rsidR="00FC67C3" w:rsidRDefault="00FC67C3" w:rsidP="002F32F0">
            <w:pPr>
              <w:jc w:val="center"/>
              <w:rPr>
                <w:sz w:val="22"/>
                <w:szCs w:val="22"/>
              </w:rPr>
            </w:pPr>
            <w:r>
              <w:rPr>
                <w:sz w:val="22"/>
                <w:szCs w:val="22"/>
              </w:rPr>
              <w:t>36 (2,8)</w:t>
            </w:r>
          </w:p>
        </w:tc>
        <w:tc>
          <w:tcPr>
            <w:tcW w:w="2303" w:type="dxa"/>
          </w:tcPr>
          <w:p w14:paraId="164108E5" w14:textId="77777777" w:rsidR="00FC67C3" w:rsidRDefault="00FC67C3" w:rsidP="002F32F0">
            <w:pPr>
              <w:jc w:val="center"/>
              <w:rPr>
                <w:sz w:val="22"/>
                <w:szCs w:val="22"/>
              </w:rPr>
            </w:pPr>
            <w:r>
              <w:rPr>
                <w:sz w:val="22"/>
                <w:szCs w:val="22"/>
              </w:rPr>
              <w:t>66 (5,1)</w:t>
            </w:r>
          </w:p>
        </w:tc>
      </w:tr>
      <w:tr w:rsidR="00FC67C3" w14:paraId="2B0350EA" w14:textId="77777777">
        <w:tc>
          <w:tcPr>
            <w:tcW w:w="4606" w:type="dxa"/>
          </w:tcPr>
          <w:p w14:paraId="69AD6F15" w14:textId="77777777" w:rsidR="00FC67C3" w:rsidRDefault="00FC67C3" w:rsidP="0065110A">
            <w:pPr>
              <w:rPr>
                <w:sz w:val="22"/>
                <w:szCs w:val="22"/>
              </w:rPr>
            </w:pPr>
            <w:r>
              <w:rPr>
                <w:sz w:val="22"/>
                <w:szCs w:val="22"/>
              </w:rPr>
              <w:t>Pomer riz</w:t>
            </w:r>
            <w:r w:rsidR="0065110A">
              <w:rPr>
                <w:sz w:val="22"/>
                <w:szCs w:val="22"/>
              </w:rPr>
              <w:t>ika</w:t>
            </w:r>
          </w:p>
        </w:tc>
        <w:tc>
          <w:tcPr>
            <w:tcW w:w="4606" w:type="dxa"/>
            <w:gridSpan w:val="2"/>
          </w:tcPr>
          <w:p w14:paraId="3D8B7B3B" w14:textId="77777777" w:rsidR="00FC67C3" w:rsidRDefault="00FC67C3" w:rsidP="002F32F0">
            <w:pPr>
              <w:jc w:val="center"/>
              <w:rPr>
                <w:sz w:val="22"/>
                <w:szCs w:val="22"/>
              </w:rPr>
            </w:pPr>
            <w:r>
              <w:rPr>
                <w:sz w:val="22"/>
                <w:szCs w:val="22"/>
              </w:rPr>
              <w:t>0,53</w:t>
            </w:r>
          </w:p>
        </w:tc>
      </w:tr>
      <w:tr w:rsidR="00FC67C3" w14:paraId="4E0A9366" w14:textId="77777777">
        <w:tc>
          <w:tcPr>
            <w:tcW w:w="4606" w:type="dxa"/>
          </w:tcPr>
          <w:p w14:paraId="3943E99D" w14:textId="77777777" w:rsidR="00FC67C3" w:rsidRDefault="0065110A" w:rsidP="0065110A">
            <w:pPr>
              <w:rPr>
                <w:sz w:val="22"/>
                <w:szCs w:val="22"/>
              </w:rPr>
            </w:pPr>
            <w:r>
              <w:rPr>
                <w:sz w:val="22"/>
                <w:szCs w:val="22"/>
              </w:rPr>
              <w:t>Oboj</w:t>
            </w:r>
            <w:r w:rsidR="00FC67C3">
              <w:rPr>
                <w:sz w:val="22"/>
                <w:szCs w:val="22"/>
              </w:rPr>
              <w:t>stranný 95</w:t>
            </w:r>
            <w:r>
              <w:rPr>
                <w:sz w:val="22"/>
                <w:szCs w:val="22"/>
              </w:rPr>
              <w:t xml:space="preserve"> </w:t>
            </w:r>
            <w:r w:rsidR="00FC67C3">
              <w:rPr>
                <w:sz w:val="22"/>
                <w:szCs w:val="22"/>
              </w:rPr>
              <w:t>%</w:t>
            </w:r>
            <w:r>
              <w:rPr>
                <w:sz w:val="22"/>
                <w:szCs w:val="22"/>
              </w:rPr>
              <w:t xml:space="preserve"> </w:t>
            </w:r>
            <w:r w:rsidR="00FC67C3">
              <w:rPr>
                <w:sz w:val="22"/>
                <w:szCs w:val="22"/>
              </w:rPr>
              <w:t>CI</w:t>
            </w:r>
          </w:p>
        </w:tc>
        <w:tc>
          <w:tcPr>
            <w:tcW w:w="4606" w:type="dxa"/>
            <w:gridSpan w:val="2"/>
          </w:tcPr>
          <w:p w14:paraId="7D66063F" w14:textId="77777777" w:rsidR="00FC67C3" w:rsidRDefault="00FC67C3" w:rsidP="002F32F0">
            <w:pPr>
              <w:jc w:val="center"/>
              <w:rPr>
                <w:sz w:val="22"/>
                <w:szCs w:val="22"/>
              </w:rPr>
            </w:pPr>
            <w:r>
              <w:rPr>
                <w:sz w:val="22"/>
                <w:szCs w:val="22"/>
              </w:rPr>
              <w:t>0,35 až 0,79</w:t>
            </w:r>
          </w:p>
        </w:tc>
      </w:tr>
      <w:tr w:rsidR="00FC67C3" w14:paraId="4866D94F" w14:textId="77777777">
        <w:tc>
          <w:tcPr>
            <w:tcW w:w="4606" w:type="dxa"/>
          </w:tcPr>
          <w:p w14:paraId="06C59B48" w14:textId="77777777" w:rsidR="00FC67C3" w:rsidRDefault="00FC67C3">
            <w:pPr>
              <w:rPr>
                <w:sz w:val="22"/>
                <w:szCs w:val="22"/>
              </w:rPr>
            </w:pPr>
            <w:r>
              <w:rPr>
                <w:sz w:val="22"/>
                <w:szCs w:val="22"/>
              </w:rPr>
              <w:t>Hodnota p</w:t>
            </w:r>
          </w:p>
        </w:tc>
        <w:tc>
          <w:tcPr>
            <w:tcW w:w="4606" w:type="dxa"/>
            <w:gridSpan w:val="2"/>
          </w:tcPr>
          <w:p w14:paraId="65E2C9DC" w14:textId="77777777" w:rsidR="00FC67C3" w:rsidRDefault="00FC67C3" w:rsidP="002F32F0">
            <w:pPr>
              <w:jc w:val="center"/>
              <w:rPr>
                <w:sz w:val="22"/>
                <w:szCs w:val="22"/>
              </w:rPr>
            </w:pPr>
            <w:r>
              <w:rPr>
                <w:sz w:val="22"/>
                <w:szCs w:val="22"/>
              </w:rPr>
              <w:t>0,002</w:t>
            </w:r>
          </w:p>
        </w:tc>
      </w:tr>
      <w:tr w:rsidR="00FC67C3" w14:paraId="7FEEB370" w14:textId="77777777">
        <w:tc>
          <w:tcPr>
            <w:tcW w:w="4606" w:type="dxa"/>
          </w:tcPr>
          <w:p w14:paraId="2CAB841E" w14:textId="77777777" w:rsidR="00FC67C3" w:rsidRDefault="0065110A" w:rsidP="0065110A">
            <w:pPr>
              <w:rPr>
                <w:sz w:val="22"/>
                <w:szCs w:val="22"/>
              </w:rPr>
            </w:pPr>
            <w:r>
              <w:rPr>
                <w:sz w:val="22"/>
                <w:szCs w:val="22"/>
              </w:rPr>
              <w:t>Čas do návratu vzdialeného ochorenia</w:t>
            </w:r>
          </w:p>
        </w:tc>
        <w:tc>
          <w:tcPr>
            <w:tcW w:w="2303" w:type="dxa"/>
          </w:tcPr>
          <w:p w14:paraId="4AF83343" w14:textId="77777777" w:rsidR="00FC67C3" w:rsidRDefault="00FC67C3" w:rsidP="002F32F0">
            <w:pPr>
              <w:jc w:val="center"/>
              <w:rPr>
                <w:sz w:val="22"/>
                <w:szCs w:val="22"/>
              </w:rPr>
            </w:pPr>
            <w:r>
              <w:rPr>
                <w:sz w:val="22"/>
                <w:szCs w:val="22"/>
              </w:rPr>
              <w:t>22 (1,7)</w:t>
            </w:r>
          </w:p>
        </w:tc>
        <w:tc>
          <w:tcPr>
            <w:tcW w:w="2303" w:type="dxa"/>
          </w:tcPr>
          <w:p w14:paraId="2ED36C4E" w14:textId="77777777" w:rsidR="00FC67C3" w:rsidRDefault="00FC67C3" w:rsidP="002F32F0">
            <w:pPr>
              <w:jc w:val="center"/>
              <w:rPr>
                <w:sz w:val="22"/>
                <w:szCs w:val="22"/>
              </w:rPr>
            </w:pPr>
            <w:r>
              <w:rPr>
                <w:sz w:val="22"/>
                <w:szCs w:val="22"/>
              </w:rPr>
              <w:t>41 (3,2)</w:t>
            </w:r>
          </w:p>
        </w:tc>
      </w:tr>
      <w:tr w:rsidR="00FC67C3" w14:paraId="1B3AEFCA" w14:textId="77777777">
        <w:tc>
          <w:tcPr>
            <w:tcW w:w="4606" w:type="dxa"/>
          </w:tcPr>
          <w:p w14:paraId="0366DE5B" w14:textId="77777777" w:rsidR="00FC67C3" w:rsidRDefault="00FC67C3" w:rsidP="0065110A">
            <w:pPr>
              <w:rPr>
                <w:sz w:val="22"/>
                <w:szCs w:val="22"/>
              </w:rPr>
            </w:pPr>
            <w:r>
              <w:rPr>
                <w:sz w:val="22"/>
                <w:szCs w:val="22"/>
              </w:rPr>
              <w:t>Pomer riz</w:t>
            </w:r>
            <w:r w:rsidR="0065110A">
              <w:rPr>
                <w:sz w:val="22"/>
                <w:szCs w:val="22"/>
              </w:rPr>
              <w:t>ika</w:t>
            </w:r>
          </w:p>
        </w:tc>
        <w:tc>
          <w:tcPr>
            <w:tcW w:w="4606" w:type="dxa"/>
            <w:gridSpan w:val="2"/>
          </w:tcPr>
          <w:p w14:paraId="1C6CF68B" w14:textId="77777777" w:rsidR="00FC67C3" w:rsidRDefault="00FC67C3" w:rsidP="002F32F0">
            <w:pPr>
              <w:jc w:val="center"/>
              <w:rPr>
                <w:sz w:val="22"/>
                <w:szCs w:val="22"/>
              </w:rPr>
            </w:pPr>
            <w:r>
              <w:rPr>
                <w:sz w:val="22"/>
                <w:szCs w:val="22"/>
              </w:rPr>
              <w:t>0,52</w:t>
            </w:r>
          </w:p>
        </w:tc>
      </w:tr>
      <w:tr w:rsidR="00FC67C3" w14:paraId="4A464C07" w14:textId="77777777">
        <w:tc>
          <w:tcPr>
            <w:tcW w:w="4606" w:type="dxa"/>
          </w:tcPr>
          <w:p w14:paraId="3F0DE230" w14:textId="77777777" w:rsidR="00FC67C3" w:rsidRDefault="0065110A" w:rsidP="0065110A">
            <w:pPr>
              <w:rPr>
                <w:sz w:val="22"/>
                <w:szCs w:val="22"/>
              </w:rPr>
            </w:pPr>
            <w:r>
              <w:rPr>
                <w:sz w:val="22"/>
                <w:szCs w:val="22"/>
              </w:rPr>
              <w:t>Oboj</w:t>
            </w:r>
            <w:r w:rsidR="00FC67C3">
              <w:rPr>
                <w:sz w:val="22"/>
                <w:szCs w:val="22"/>
              </w:rPr>
              <w:t>stranný 95</w:t>
            </w:r>
            <w:r>
              <w:rPr>
                <w:sz w:val="22"/>
                <w:szCs w:val="22"/>
              </w:rPr>
              <w:t xml:space="preserve"> </w:t>
            </w:r>
            <w:r w:rsidR="00FC67C3">
              <w:rPr>
                <w:sz w:val="22"/>
                <w:szCs w:val="22"/>
              </w:rPr>
              <w:t>%</w:t>
            </w:r>
            <w:r>
              <w:rPr>
                <w:sz w:val="22"/>
                <w:szCs w:val="22"/>
              </w:rPr>
              <w:t xml:space="preserve"> </w:t>
            </w:r>
            <w:r w:rsidR="00FC67C3">
              <w:rPr>
                <w:sz w:val="22"/>
                <w:szCs w:val="22"/>
              </w:rPr>
              <w:t>CI</w:t>
            </w:r>
          </w:p>
        </w:tc>
        <w:tc>
          <w:tcPr>
            <w:tcW w:w="4606" w:type="dxa"/>
            <w:gridSpan w:val="2"/>
          </w:tcPr>
          <w:p w14:paraId="12AB220F" w14:textId="77777777" w:rsidR="00FC67C3" w:rsidRDefault="00FC67C3" w:rsidP="002F32F0">
            <w:pPr>
              <w:jc w:val="center"/>
              <w:rPr>
                <w:sz w:val="22"/>
                <w:szCs w:val="22"/>
              </w:rPr>
            </w:pPr>
            <w:r>
              <w:rPr>
                <w:sz w:val="22"/>
                <w:szCs w:val="22"/>
              </w:rPr>
              <w:t>0,31 až 0,88</w:t>
            </w:r>
          </w:p>
        </w:tc>
      </w:tr>
      <w:tr w:rsidR="00FC67C3" w14:paraId="116921CD" w14:textId="77777777">
        <w:tc>
          <w:tcPr>
            <w:tcW w:w="4606" w:type="dxa"/>
          </w:tcPr>
          <w:p w14:paraId="05DF7353" w14:textId="77777777" w:rsidR="00FC67C3" w:rsidRDefault="00FC67C3">
            <w:pPr>
              <w:rPr>
                <w:sz w:val="22"/>
                <w:szCs w:val="22"/>
              </w:rPr>
            </w:pPr>
            <w:r>
              <w:rPr>
                <w:sz w:val="22"/>
                <w:szCs w:val="22"/>
              </w:rPr>
              <w:t>Hodnota p</w:t>
            </w:r>
          </w:p>
        </w:tc>
        <w:tc>
          <w:tcPr>
            <w:tcW w:w="4606" w:type="dxa"/>
            <w:gridSpan w:val="2"/>
          </w:tcPr>
          <w:p w14:paraId="6857F544" w14:textId="77777777" w:rsidR="00FC67C3" w:rsidRDefault="00FC67C3" w:rsidP="002F32F0">
            <w:pPr>
              <w:jc w:val="center"/>
              <w:rPr>
                <w:sz w:val="22"/>
                <w:szCs w:val="22"/>
              </w:rPr>
            </w:pPr>
            <w:r>
              <w:rPr>
                <w:sz w:val="22"/>
                <w:szCs w:val="22"/>
              </w:rPr>
              <w:t>0,015</w:t>
            </w:r>
          </w:p>
        </w:tc>
      </w:tr>
      <w:tr w:rsidR="00FC67C3" w14:paraId="0A3584C6" w14:textId="77777777">
        <w:tc>
          <w:tcPr>
            <w:tcW w:w="4606" w:type="dxa"/>
          </w:tcPr>
          <w:p w14:paraId="09425EC3" w14:textId="77777777" w:rsidR="00FC67C3" w:rsidRDefault="00FC67C3" w:rsidP="0065110A">
            <w:pPr>
              <w:rPr>
                <w:sz w:val="22"/>
                <w:szCs w:val="22"/>
              </w:rPr>
            </w:pPr>
            <w:r>
              <w:rPr>
                <w:sz w:val="22"/>
                <w:szCs w:val="22"/>
              </w:rPr>
              <w:t>Nov</w:t>
            </w:r>
            <w:r w:rsidR="0065110A">
              <w:rPr>
                <w:sz w:val="22"/>
                <w:szCs w:val="22"/>
              </w:rPr>
              <w:t>ý</w:t>
            </w:r>
            <w:r>
              <w:rPr>
                <w:sz w:val="22"/>
                <w:szCs w:val="22"/>
              </w:rPr>
              <w:t xml:space="preserve"> </w:t>
            </w:r>
            <w:proofErr w:type="spellStart"/>
            <w:r>
              <w:rPr>
                <w:sz w:val="22"/>
                <w:szCs w:val="22"/>
              </w:rPr>
              <w:t>kontralateráln</w:t>
            </w:r>
            <w:r w:rsidR="0065110A">
              <w:rPr>
                <w:sz w:val="22"/>
                <w:szCs w:val="22"/>
              </w:rPr>
              <w:t>y</w:t>
            </w:r>
            <w:proofErr w:type="spellEnd"/>
            <w:r>
              <w:rPr>
                <w:sz w:val="22"/>
                <w:szCs w:val="22"/>
              </w:rPr>
              <w:t xml:space="preserve"> </w:t>
            </w:r>
            <w:r w:rsidR="0065110A">
              <w:rPr>
                <w:sz w:val="22"/>
                <w:szCs w:val="22"/>
              </w:rPr>
              <w:t>karcinóm</w:t>
            </w:r>
            <w:r>
              <w:rPr>
                <w:sz w:val="22"/>
                <w:szCs w:val="22"/>
              </w:rPr>
              <w:t xml:space="preserve"> prsníka</w:t>
            </w:r>
          </w:p>
        </w:tc>
        <w:tc>
          <w:tcPr>
            <w:tcW w:w="2303" w:type="dxa"/>
          </w:tcPr>
          <w:p w14:paraId="523A1589" w14:textId="77777777" w:rsidR="00FC67C3" w:rsidRDefault="00FC67C3" w:rsidP="002F32F0">
            <w:pPr>
              <w:jc w:val="center"/>
              <w:rPr>
                <w:sz w:val="22"/>
                <w:szCs w:val="22"/>
              </w:rPr>
            </w:pPr>
            <w:r>
              <w:rPr>
                <w:sz w:val="22"/>
                <w:szCs w:val="22"/>
              </w:rPr>
              <w:t>7 (0,5)</w:t>
            </w:r>
          </w:p>
        </w:tc>
        <w:tc>
          <w:tcPr>
            <w:tcW w:w="2303" w:type="dxa"/>
          </w:tcPr>
          <w:p w14:paraId="1959198A" w14:textId="77777777" w:rsidR="00FC67C3" w:rsidRDefault="00FC67C3" w:rsidP="002F32F0">
            <w:pPr>
              <w:jc w:val="center"/>
              <w:rPr>
                <w:sz w:val="22"/>
                <w:szCs w:val="22"/>
              </w:rPr>
            </w:pPr>
            <w:r>
              <w:rPr>
                <w:sz w:val="22"/>
                <w:szCs w:val="22"/>
              </w:rPr>
              <w:t>15 (1,2)</w:t>
            </w:r>
          </w:p>
        </w:tc>
      </w:tr>
      <w:tr w:rsidR="00FC67C3" w14:paraId="4FCDA2F8" w14:textId="77777777">
        <w:tc>
          <w:tcPr>
            <w:tcW w:w="4606" w:type="dxa"/>
          </w:tcPr>
          <w:p w14:paraId="423357E7" w14:textId="77777777" w:rsidR="00FC67C3" w:rsidRDefault="0065110A" w:rsidP="0065110A">
            <w:pPr>
              <w:rPr>
                <w:sz w:val="22"/>
                <w:szCs w:val="22"/>
              </w:rPr>
            </w:pPr>
            <w:r>
              <w:rPr>
                <w:sz w:val="22"/>
                <w:szCs w:val="22"/>
              </w:rPr>
              <w:t>Pomer šancí</w:t>
            </w:r>
          </w:p>
        </w:tc>
        <w:tc>
          <w:tcPr>
            <w:tcW w:w="4606" w:type="dxa"/>
            <w:gridSpan w:val="2"/>
          </w:tcPr>
          <w:p w14:paraId="46C006B2" w14:textId="77777777" w:rsidR="00FC67C3" w:rsidRDefault="00FC67C3" w:rsidP="002F32F0">
            <w:pPr>
              <w:jc w:val="center"/>
              <w:rPr>
                <w:sz w:val="22"/>
                <w:szCs w:val="22"/>
              </w:rPr>
            </w:pPr>
            <w:r>
              <w:rPr>
                <w:sz w:val="22"/>
                <w:szCs w:val="22"/>
              </w:rPr>
              <w:t>0,46</w:t>
            </w:r>
          </w:p>
        </w:tc>
      </w:tr>
      <w:tr w:rsidR="00FC67C3" w14:paraId="68C83AAC" w14:textId="77777777">
        <w:tc>
          <w:tcPr>
            <w:tcW w:w="4606" w:type="dxa"/>
          </w:tcPr>
          <w:p w14:paraId="1EF1E8CD" w14:textId="77777777" w:rsidR="00FC67C3" w:rsidRDefault="0065110A" w:rsidP="0065110A">
            <w:pPr>
              <w:rPr>
                <w:sz w:val="22"/>
                <w:szCs w:val="22"/>
              </w:rPr>
            </w:pPr>
            <w:r>
              <w:rPr>
                <w:sz w:val="22"/>
                <w:szCs w:val="22"/>
              </w:rPr>
              <w:t>Oboj</w:t>
            </w:r>
            <w:r w:rsidR="00FC67C3">
              <w:rPr>
                <w:sz w:val="22"/>
                <w:szCs w:val="22"/>
              </w:rPr>
              <w:t>stranný 95</w:t>
            </w:r>
            <w:r>
              <w:rPr>
                <w:sz w:val="22"/>
                <w:szCs w:val="22"/>
              </w:rPr>
              <w:t xml:space="preserve"> </w:t>
            </w:r>
            <w:r w:rsidR="00FC67C3">
              <w:rPr>
                <w:sz w:val="22"/>
                <w:szCs w:val="22"/>
              </w:rPr>
              <w:t>%</w:t>
            </w:r>
            <w:r>
              <w:rPr>
                <w:sz w:val="22"/>
                <w:szCs w:val="22"/>
              </w:rPr>
              <w:t xml:space="preserve"> </w:t>
            </w:r>
            <w:r w:rsidR="00FC67C3">
              <w:rPr>
                <w:sz w:val="22"/>
                <w:szCs w:val="22"/>
              </w:rPr>
              <w:t>CI</w:t>
            </w:r>
          </w:p>
        </w:tc>
        <w:tc>
          <w:tcPr>
            <w:tcW w:w="4606" w:type="dxa"/>
            <w:gridSpan w:val="2"/>
          </w:tcPr>
          <w:p w14:paraId="417CB8BE" w14:textId="77777777" w:rsidR="00FC67C3" w:rsidRDefault="00FC67C3" w:rsidP="002F32F0">
            <w:pPr>
              <w:jc w:val="center"/>
              <w:rPr>
                <w:sz w:val="22"/>
                <w:szCs w:val="22"/>
              </w:rPr>
            </w:pPr>
            <w:r>
              <w:rPr>
                <w:sz w:val="22"/>
                <w:szCs w:val="22"/>
              </w:rPr>
              <w:t>0,19 až 1,13</w:t>
            </w:r>
          </w:p>
        </w:tc>
      </w:tr>
      <w:tr w:rsidR="00FC67C3" w14:paraId="2B9FD4B4" w14:textId="77777777">
        <w:tc>
          <w:tcPr>
            <w:tcW w:w="4606" w:type="dxa"/>
          </w:tcPr>
          <w:p w14:paraId="647FB6AB" w14:textId="77777777" w:rsidR="00FC67C3" w:rsidRDefault="00FC67C3">
            <w:pPr>
              <w:rPr>
                <w:sz w:val="22"/>
                <w:szCs w:val="22"/>
              </w:rPr>
            </w:pPr>
            <w:r>
              <w:rPr>
                <w:sz w:val="22"/>
                <w:szCs w:val="22"/>
              </w:rPr>
              <w:t xml:space="preserve">Hodnota p </w:t>
            </w:r>
          </w:p>
        </w:tc>
        <w:tc>
          <w:tcPr>
            <w:tcW w:w="4606" w:type="dxa"/>
            <w:gridSpan w:val="2"/>
          </w:tcPr>
          <w:p w14:paraId="128FA454" w14:textId="77777777" w:rsidR="00FC67C3" w:rsidRDefault="00FC67C3" w:rsidP="002F32F0">
            <w:pPr>
              <w:jc w:val="center"/>
              <w:rPr>
                <w:sz w:val="22"/>
                <w:szCs w:val="22"/>
              </w:rPr>
            </w:pPr>
            <w:r>
              <w:rPr>
                <w:sz w:val="22"/>
                <w:szCs w:val="22"/>
              </w:rPr>
              <w:t>0,090</w:t>
            </w:r>
          </w:p>
        </w:tc>
      </w:tr>
      <w:tr w:rsidR="00FC67C3" w14:paraId="69016B4F" w14:textId="77777777">
        <w:tc>
          <w:tcPr>
            <w:tcW w:w="4606" w:type="dxa"/>
          </w:tcPr>
          <w:p w14:paraId="2DAFBAFC" w14:textId="77777777" w:rsidR="00FC67C3" w:rsidRDefault="00FC67C3">
            <w:pPr>
              <w:rPr>
                <w:sz w:val="22"/>
                <w:szCs w:val="22"/>
              </w:rPr>
            </w:pPr>
            <w:r>
              <w:rPr>
                <w:sz w:val="22"/>
                <w:szCs w:val="22"/>
              </w:rPr>
              <w:t>Celkové prežívanie</w:t>
            </w:r>
          </w:p>
        </w:tc>
        <w:tc>
          <w:tcPr>
            <w:tcW w:w="2303" w:type="dxa"/>
          </w:tcPr>
          <w:p w14:paraId="49A514DC" w14:textId="77777777" w:rsidR="00FC67C3" w:rsidRDefault="00FC67C3" w:rsidP="002F32F0">
            <w:pPr>
              <w:jc w:val="center"/>
              <w:rPr>
                <w:sz w:val="22"/>
                <w:szCs w:val="22"/>
              </w:rPr>
            </w:pPr>
            <w:r>
              <w:rPr>
                <w:sz w:val="22"/>
                <w:szCs w:val="22"/>
              </w:rPr>
              <w:t>43 (3,3)</w:t>
            </w:r>
          </w:p>
        </w:tc>
        <w:tc>
          <w:tcPr>
            <w:tcW w:w="2303" w:type="dxa"/>
          </w:tcPr>
          <w:p w14:paraId="5D1E286B" w14:textId="77777777" w:rsidR="00FC67C3" w:rsidRDefault="00FC67C3" w:rsidP="002F32F0">
            <w:pPr>
              <w:jc w:val="center"/>
              <w:rPr>
                <w:sz w:val="22"/>
                <w:szCs w:val="22"/>
              </w:rPr>
            </w:pPr>
            <w:r>
              <w:rPr>
                <w:sz w:val="22"/>
                <w:szCs w:val="22"/>
              </w:rPr>
              <w:t>45 (3,5)</w:t>
            </w:r>
          </w:p>
        </w:tc>
      </w:tr>
      <w:tr w:rsidR="00FC67C3" w14:paraId="14F702DB" w14:textId="77777777">
        <w:tc>
          <w:tcPr>
            <w:tcW w:w="4606" w:type="dxa"/>
          </w:tcPr>
          <w:p w14:paraId="767E98C0" w14:textId="77777777" w:rsidR="00FC67C3" w:rsidRDefault="00FC67C3">
            <w:pPr>
              <w:rPr>
                <w:sz w:val="22"/>
                <w:szCs w:val="22"/>
              </w:rPr>
            </w:pPr>
            <w:r>
              <w:rPr>
                <w:sz w:val="22"/>
                <w:szCs w:val="22"/>
              </w:rPr>
              <w:t>Pomer rizík</w:t>
            </w:r>
          </w:p>
        </w:tc>
        <w:tc>
          <w:tcPr>
            <w:tcW w:w="4606" w:type="dxa"/>
            <w:gridSpan w:val="2"/>
          </w:tcPr>
          <w:p w14:paraId="71B702E5" w14:textId="77777777" w:rsidR="00FC67C3" w:rsidRDefault="00FC67C3" w:rsidP="002F32F0">
            <w:pPr>
              <w:jc w:val="center"/>
              <w:rPr>
                <w:sz w:val="22"/>
                <w:szCs w:val="22"/>
              </w:rPr>
            </w:pPr>
            <w:r>
              <w:rPr>
                <w:sz w:val="22"/>
                <w:szCs w:val="22"/>
              </w:rPr>
              <w:t>0,96</w:t>
            </w:r>
          </w:p>
        </w:tc>
      </w:tr>
      <w:tr w:rsidR="00FC67C3" w14:paraId="56710F59" w14:textId="77777777">
        <w:tc>
          <w:tcPr>
            <w:tcW w:w="4606" w:type="dxa"/>
          </w:tcPr>
          <w:p w14:paraId="6335422E" w14:textId="77777777" w:rsidR="00FC67C3" w:rsidRDefault="00FC67C3">
            <w:pPr>
              <w:rPr>
                <w:sz w:val="22"/>
                <w:szCs w:val="22"/>
              </w:rPr>
            </w:pPr>
            <w:r>
              <w:rPr>
                <w:sz w:val="22"/>
                <w:szCs w:val="22"/>
              </w:rPr>
              <w:t>2-stranný 95%CI</w:t>
            </w:r>
          </w:p>
        </w:tc>
        <w:tc>
          <w:tcPr>
            <w:tcW w:w="4606" w:type="dxa"/>
            <w:gridSpan w:val="2"/>
          </w:tcPr>
          <w:p w14:paraId="0D38C883" w14:textId="77777777" w:rsidR="00FC67C3" w:rsidRDefault="00FC67C3" w:rsidP="002F32F0">
            <w:pPr>
              <w:jc w:val="center"/>
              <w:rPr>
                <w:sz w:val="22"/>
                <w:szCs w:val="22"/>
              </w:rPr>
            </w:pPr>
            <w:r>
              <w:rPr>
                <w:sz w:val="22"/>
                <w:szCs w:val="22"/>
              </w:rPr>
              <w:t>0,63 až 1,46</w:t>
            </w:r>
          </w:p>
        </w:tc>
      </w:tr>
      <w:tr w:rsidR="00FC67C3" w14:paraId="51D6E668" w14:textId="77777777">
        <w:tc>
          <w:tcPr>
            <w:tcW w:w="4606" w:type="dxa"/>
          </w:tcPr>
          <w:p w14:paraId="4A66A74B" w14:textId="77777777" w:rsidR="00FC67C3" w:rsidRDefault="00FC67C3">
            <w:pPr>
              <w:rPr>
                <w:sz w:val="22"/>
                <w:szCs w:val="22"/>
              </w:rPr>
            </w:pPr>
            <w:r>
              <w:rPr>
                <w:sz w:val="22"/>
                <w:szCs w:val="22"/>
              </w:rPr>
              <w:t>Hodnota p</w:t>
            </w:r>
          </w:p>
        </w:tc>
        <w:tc>
          <w:tcPr>
            <w:tcW w:w="4606" w:type="dxa"/>
            <w:gridSpan w:val="2"/>
          </w:tcPr>
          <w:p w14:paraId="5F2CB98B" w14:textId="77777777" w:rsidR="00FC67C3" w:rsidRDefault="00FC67C3" w:rsidP="002F32F0">
            <w:pPr>
              <w:jc w:val="center"/>
              <w:rPr>
                <w:sz w:val="22"/>
                <w:szCs w:val="22"/>
              </w:rPr>
            </w:pPr>
            <w:r>
              <w:rPr>
                <w:sz w:val="22"/>
                <w:szCs w:val="22"/>
              </w:rPr>
              <w:t>0,840</w:t>
            </w:r>
          </w:p>
        </w:tc>
      </w:tr>
    </w:tbl>
    <w:p w14:paraId="3C52069D" w14:textId="77777777" w:rsidR="00FC67C3" w:rsidRDefault="00FC67C3">
      <w:pPr>
        <w:rPr>
          <w:sz w:val="22"/>
          <w:szCs w:val="22"/>
          <w:u w:val="single"/>
        </w:rPr>
      </w:pPr>
    </w:p>
    <w:p w14:paraId="31D47EEA" w14:textId="77777777" w:rsidR="0011484C" w:rsidRPr="00D929C5" w:rsidRDefault="0011484C" w:rsidP="0011484C">
      <w:pPr>
        <w:rPr>
          <w:sz w:val="22"/>
          <w:szCs w:val="22"/>
          <w:lang w:val="sv-SE"/>
        </w:rPr>
      </w:pPr>
      <w:r w:rsidRPr="00D929C5">
        <w:rPr>
          <w:sz w:val="22"/>
          <w:szCs w:val="22"/>
          <w:lang w:val="sv-SE"/>
        </w:rPr>
        <w:t xml:space="preserve">Ďalšie dve podobné štúdie (GABG/ARNO 95 a ITA) – do jednej z nich boli zaradené pacientky po operácii a chemoterapii – a kombinovaná analýza štúdií ABCSG 8 a GABG/ARNO 95 podporili tieto výsledky. </w:t>
      </w:r>
    </w:p>
    <w:p w14:paraId="4015B498" w14:textId="77777777" w:rsidR="0011484C" w:rsidRPr="00D929C5" w:rsidRDefault="0011484C" w:rsidP="0011484C">
      <w:pPr>
        <w:rPr>
          <w:sz w:val="22"/>
          <w:szCs w:val="22"/>
          <w:lang w:val="sv-SE"/>
        </w:rPr>
      </w:pPr>
    </w:p>
    <w:p w14:paraId="1BBE000A" w14:textId="77777777" w:rsidR="0011484C" w:rsidRPr="00D929C5" w:rsidRDefault="0011484C" w:rsidP="0011484C">
      <w:pPr>
        <w:rPr>
          <w:sz w:val="22"/>
          <w:szCs w:val="22"/>
          <w:lang w:val="sv-SE"/>
        </w:rPr>
      </w:pPr>
      <w:r w:rsidRPr="00D929C5">
        <w:rPr>
          <w:sz w:val="22"/>
          <w:szCs w:val="22"/>
          <w:lang w:val="sv-SE"/>
        </w:rPr>
        <w:t>Bezpečnostný profil anastrozolu v týchto 3 štúdiách bol v súlade so známym bezpečnostným profilom lieku zisteným u žien po menopauze so včasným karcinómom prsníka pozitívnym na hormonálne receptory.</w:t>
      </w:r>
    </w:p>
    <w:p w14:paraId="63144AC9" w14:textId="77777777" w:rsidR="00FC67C3" w:rsidRDefault="00FC67C3">
      <w:pPr>
        <w:rPr>
          <w:sz w:val="22"/>
          <w:szCs w:val="22"/>
        </w:rPr>
      </w:pPr>
    </w:p>
    <w:p w14:paraId="1C85E1FB" w14:textId="77777777" w:rsidR="0011484C" w:rsidRPr="00D929C5" w:rsidRDefault="0011484C" w:rsidP="0011484C">
      <w:pPr>
        <w:rPr>
          <w:i/>
          <w:iCs/>
          <w:sz w:val="22"/>
          <w:szCs w:val="22"/>
          <w:u w:val="single"/>
          <w:lang w:val="sv-SE"/>
        </w:rPr>
      </w:pPr>
      <w:r w:rsidRPr="00D929C5">
        <w:rPr>
          <w:i/>
          <w:iCs/>
          <w:sz w:val="22"/>
          <w:szCs w:val="22"/>
          <w:u w:val="single"/>
          <w:lang w:val="sv-SE"/>
        </w:rPr>
        <w:t>Minerálna hustota kostí (bone mineral density, BMD)</w:t>
      </w:r>
    </w:p>
    <w:p w14:paraId="573B0F4F" w14:textId="77777777" w:rsidR="0011484C" w:rsidRPr="00D929C5" w:rsidRDefault="0011484C" w:rsidP="0011484C">
      <w:pPr>
        <w:pStyle w:val="Textkomentra"/>
        <w:rPr>
          <w:sz w:val="22"/>
          <w:szCs w:val="22"/>
          <w:u w:val="single"/>
        </w:rPr>
      </w:pPr>
    </w:p>
    <w:p w14:paraId="0FC71B39" w14:textId="77777777" w:rsidR="0011484C" w:rsidRPr="00D929C5" w:rsidRDefault="0011484C" w:rsidP="0011484C">
      <w:pPr>
        <w:autoSpaceDE w:val="0"/>
        <w:autoSpaceDN w:val="0"/>
        <w:adjustRightInd w:val="0"/>
        <w:rPr>
          <w:sz w:val="22"/>
          <w:szCs w:val="22"/>
        </w:rPr>
      </w:pPr>
      <w:r w:rsidRPr="00D929C5">
        <w:rPr>
          <w:sz w:val="22"/>
          <w:szCs w:val="22"/>
          <w:lang w:val="sv-SE"/>
        </w:rPr>
        <w:t>V štúdii fázy III/IV (Study of Anastrozole with the Bisphosphonate Risedronate [SABRE]) sa 234 žien po menopauze so včasným karcinómom prsníka pozitívnym na hormonálne receptory zaradilo na liečbu anastrozolom 1 mg/deň a zároveň rozdelilo do skupín podľa prítomného rizika zlomeniny z dôvodu krehkosti kosti – skupina s nízkym, stredne vysokým a vysokým rizikom</w:t>
      </w:r>
      <w:r w:rsidRPr="00D929C5">
        <w:rPr>
          <w:sz w:val="22"/>
          <w:szCs w:val="22"/>
        </w:rPr>
        <w:t xml:space="preserve">. Primárnym parametrom účinnosti bola analýza hustoty kostnej hmoty lumbálnej chrbtice pomocou DEXA </w:t>
      </w:r>
      <w:proofErr w:type="spellStart"/>
      <w:r w:rsidRPr="00D929C5">
        <w:rPr>
          <w:sz w:val="22"/>
          <w:szCs w:val="22"/>
        </w:rPr>
        <w:t>s</w:t>
      </w:r>
      <w:r>
        <w:rPr>
          <w:sz w:val="22"/>
          <w:szCs w:val="22"/>
        </w:rPr>
        <w:t>kenu</w:t>
      </w:r>
      <w:proofErr w:type="spellEnd"/>
      <w:r w:rsidRPr="00D929C5">
        <w:rPr>
          <w:sz w:val="22"/>
          <w:szCs w:val="22"/>
        </w:rPr>
        <w:t xml:space="preserve">. Všetky pacientky užívali vitamín D a vápnik. Pacientky v skupine s nízkym rizikom užívali samotný </w:t>
      </w:r>
      <w:proofErr w:type="spellStart"/>
      <w:r>
        <w:rPr>
          <w:sz w:val="22"/>
          <w:szCs w:val="22"/>
        </w:rPr>
        <w:lastRenderedPageBreak/>
        <w:t>anastrozol</w:t>
      </w:r>
      <w:proofErr w:type="spellEnd"/>
      <w:r w:rsidRPr="00D929C5">
        <w:rPr>
          <w:sz w:val="22"/>
          <w:szCs w:val="22"/>
        </w:rPr>
        <w:t xml:space="preserve"> (n = 42), pacientky v skupine so stredne vysokým rizikom boli </w:t>
      </w:r>
      <w:proofErr w:type="spellStart"/>
      <w:r w:rsidRPr="00D929C5">
        <w:rPr>
          <w:sz w:val="22"/>
          <w:szCs w:val="22"/>
        </w:rPr>
        <w:t>randomizované</w:t>
      </w:r>
      <w:proofErr w:type="spellEnd"/>
      <w:r w:rsidRPr="00D929C5">
        <w:rPr>
          <w:sz w:val="22"/>
          <w:szCs w:val="22"/>
        </w:rPr>
        <w:t xml:space="preserve"> na liečbu kombináciou </w:t>
      </w:r>
      <w:proofErr w:type="spellStart"/>
      <w:r w:rsidRPr="00D929C5">
        <w:rPr>
          <w:sz w:val="22"/>
          <w:szCs w:val="22"/>
        </w:rPr>
        <w:t>anastrozol</w:t>
      </w:r>
      <w:proofErr w:type="spellEnd"/>
      <w:r w:rsidRPr="00D929C5">
        <w:rPr>
          <w:sz w:val="22"/>
          <w:szCs w:val="22"/>
        </w:rPr>
        <w:t xml:space="preserve"> + 35 mg </w:t>
      </w:r>
      <w:proofErr w:type="spellStart"/>
      <w:r w:rsidRPr="00D929C5">
        <w:rPr>
          <w:sz w:val="22"/>
          <w:szCs w:val="22"/>
        </w:rPr>
        <w:t>rizedronátu</w:t>
      </w:r>
      <w:proofErr w:type="spellEnd"/>
      <w:r w:rsidRPr="00D929C5">
        <w:rPr>
          <w:sz w:val="22"/>
          <w:szCs w:val="22"/>
        </w:rPr>
        <w:t xml:space="preserve"> 1</w:t>
      </w:r>
      <w:r>
        <w:rPr>
          <w:sz w:val="22"/>
          <w:szCs w:val="22"/>
        </w:rPr>
        <w:t>-krát</w:t>
      </w:r>
      <w:r w:rsidRPr="00D929C5">
        <w:rPr>
          <w:sz w:val="22"/>
          <w:szCs w:val="22"/>
        </w:rPr>
        <w:t xml:space="preserve"> týždenne (n = 77) alebo kombináciou </w:t>
      </w:r>
      <w:proofErr w:type="spellStart"/>
      <w:r w:rsidRPr="00D929C5">
        <w:rPr>
          <w:sz w:val="22"/>
          <w:szCs w:val="22"/>
        </w:rPr>
        <w:t>anastrozol</w:t>
      </w:r>
      <w:proofErr w:type="spellEnd"/>
      <w:r w:rsidRPr="00D929C5">
        <w:rPr>
          <w:sz w:val="22"/>
          <w:szCs w:val="22"/>
        </w:rPr>
        <w:t xml:space="preserve"> + placebo (n = 77) a pacientkam v skupine s vysokým rizikom sa podávala kombinácia </w:t>
      </w:r>
      <w:proofErr w:type="spellStart"/>
      <w:r w:rsidRPr="00D929C5">
        <w:rPr>
          <w:sz w:val="22"/>
          <w:szCs w:val="22"/>
        </w:rPr>
        <w:t>anastrozol</w:t>
      </w:r>
      <w:proofErr w:type="spellEnd"/>
      <w:r w:rsidRPr="00D929C5">
        <w:rPr>
          <w:sz w:val="22"/>
          <w:szCs w:val="22"/>
        </w:rPr>
        <w:t xml:space="preserve"> + 35</w:t>
      </w:r>
      <w:r>
        <w:rPr>
          <w:sz w:val="22"/>
          <w:szCs w:val="22"/>
        </w:rPr>
        <w:t> </w:t>
      </w:r>
      <w:r w:rsidRPr="00D929C5">
        <w:rPr>
          <w:sz w:val="22"/>
          <w:szCs w:val="22"/>
        </w:rPr>
        <w:t xml:space="preserve">mg </w:t>
      </w:r>
      <w:proofErr w:type="spellStart"/>
      <w:r w:rsidRPr="00D929C5">
        <w:rPr>
          <w:sz w:val="22"/>
          <w:szCs w:val="22"/>
        </w:rPr>
        <w:t>rizedronátu</w:t>
      </w:r>
      <w:proofErr w:type="spellEnd"/>
      <w:r w:rsidRPr="00D929C5">
        <w:rPr>
          <w:sz w:val="22"/>
          <w:szCs w:val="22"/>
        </w:rPr>
        <w:t xml:space="preserve"> 1</w:t>
      </w:r>
      <w:r>
        <w:rPr>
          <w:sz w:val="22"/>
          <w:szCs w:val="22"/>
        </w:rPr>
        <w:t xml:space="preserve">-krát </w:t>
      </w:r>
      <w:r w:rsidRPr="00D929C5">
        <w:rPr>
          <w:sz w:val="22"/>
          <w:szCs w:val="22"/>
        </w:rPr>
        <w:t>týždenne (n = 38). Primárnym koncovým ukazovateľom bola zmena hustoty kostnej hmoty lumbálnej chrbtice po 12 mesiacoch v porovnaní východiskovou hodnotou.</w:t>
      </w:r>
    </w:p>
    <w:p w14:paraId="646C2528" w14:textId="77777777" w:rsidR="0011484C" w:rsidRPr="00D929C5" w:rsidRDefault="0011484C" w:rsidP="0011484C">
      <w:pPr>
        <w:pStyle w:val="Textkomentra"/>
        <w:rPr>
          <w:sz w:val="22"/>
          <w:szCs w:val="22"/>
        </w:rPr>
      </w:pPr>
    </w:p>
    <w:p w14:paraId="23DA6C5D" w14:textId="77777777" w:rsidR="0011484C" w:rsidRPr="00D929C5" w:rsidRDefault="0011484C" w:rsidP="0011484C">
      <w:pPr>
        <w:rPr>
          <w:sz w:val="22"/>
          <w:szCs w:val="22"/>
        </w:rPr>
      </w:pPr>
      <w:r w:rsidRPr="00D929C5">
        <w:rPr>
          <w:sz w:val="22"/>
          <w:szCs w:val="22"/>
        </w:rPr>
        <w:t xml:space="preserve">12-mesačná hlavná analýza preukázala, že u </w:t>
      </w:r>
      <w:proofErr w:type="spellStart"/>
      <w:r w:rsidRPr="00D929C5">
        <w:rPr>
          <w:sz w:val="22"/>
          <w:szCs w:val="22"/>
        </w:rPr>
        <w:t>pacientok</w:t>
      </w:r>
      <w:proofErr w:type="spellEnd"/>
      <w:r w:rsidRPr="00D929C5">
        <w:rPr>
          <w:sz w:val="22"/>
          <w:szCs w:val="22"/>
        </w:rPr>
        <w:t xml:space="preserve"> v skupine so stredne vysokým a vysokým rizikom zlomeniny z dôvodu krehkosti kosti nedošlo k poklesu hustoty kostnej hmoty (posúdenej podľa hustoty kostnej hmoty lumbálnej chrbtice stanovenej pomocou DEXA </w:t>
      </w:r>
      <w:proofErr w:type="spellStart"/>
      <w:r w:rsidRPr="00D929C5">
        <w:rPr>
          <w:sz w:val="22"/>
          <w:szCs w:val="22"/>
        </w:rPr>
        <w:t>s</w:t>
      </w:r>
      <w:r>
        <w:rPr>
          <w:sz w:val="22"/>
          <w:szCs w:val="22"/>
        </w:rPr>
        <w:t>kenu</w:t>
      </w:r>
      <w:proofErr w:type="spellEnd"/>
      <w:r w:rsidRPr="00D929C5">
        <w:rPr>
          <w:sz w:val="22"/>
          <w:szCs w:val="22"/>
        </w:rPr>
        <w:t xml:space="preserve">) vtedy, ak sa použila kombinácia </w:t>
      </w:r>
      <w:proofErr w:type="spellStart"/>
      <w:r w:rsidRPr="00D929C5">
        <w:rPr>
          <w:sz w:val="22"/>
          <w:szCs w:val="22"/>
        </w:rPr>
        <w:t>anastrozol</w:t>
      </w:r>
      <w:proofErr w:type="spellEnd"/>
      <w:r w:rsidRPr="00D929C5">
        <w:rPr>
          <w:sz w:val="22"/>
          <w:szCs w:val="22"/>
        </w:rPr>
        <w:t xml:space="preserve"> 1 mg/deň + 35 mg </w:t>
      </w:r>
      <w:proofErr w:type="spellStart"/>
      <w:r w:rsidRPr="00D929C5">
        <w:rPr>
          <w:sz w:val="22"/>
          <w:szCs w:val="22"/>
        </w:rPr>
        <w:t>rizedronátu</w:t>
      </w:r>
      <w:proofErr w:type="spellEnd"/>
      <w:r w:rsidRPr="00D929C5">
        <w:rPr>
          <w:sz w:val="22"/>
          <w:szCs w:val="22"/>
        </w:rPr>
        <w:t xml:space="preserve"> 1</w:t>
      </w:r>
      <w:r>
        <w:rPr>
          <w:sz w:val="22"/>
          <w:szCs w:val="22"/>
        </w:rPr>
        <w:t>-krát</w:t>
      </w:r>
      <w:r w:rsidRPr="00D929C5">
        <w:rPr>
          <w:sz w:val="22"/>
          <w:szCs w:val="22"/>
        </w:rPr>
        <w:t xml:space="preserve"> týždenne. Okrem toho sa v skupine </w:t>
      </w:r>
      <w:proofErr w:type="spellStart"/>
      <w:r w:rsidRPr="00D929C5">
        <w:rPr>
          <w:sz w:val="22"/>
          <w:szCs w:val="22"/>
        </w:rPr>
        <w:t>pacientok</w:t>
      </w:r>
      <w:proofErr w:type="spellEnd"/>
      <w:r w:rsidRPr="00D929C5">
        <w:rPr>
          <w:sz w:val="22"/>
          <w:szCs w:val="22"/>
        </w:rPr>
        <w:t xml:space="preserve"> s nízkym rizikom zlomeniny, liečených samotným </w:t>
      </w:r>
      <w:proofErr w:type="spellStart"/>
      <w:r w:rsidRPr="00D929C5">
        <w:rPr>
          <w:sz w:val="22"/>
          <w:szCs w:val="22"/>
        </w:rPr>
        <w:t>anastrozolom</w:t>
      </w:r>
      <w:proofErr w:type="spellEnd"/>
      <w:r w:rsidRPr="00D929C5">
        <w:rPr>
          <w:sz w:val="22"/>
          <w:szCs w:val="22"/>
        </w:rPr>
        <w:t xml:space="preserve"> 1 mg/deň pozoroval pokles BMD, ktorý však nebol štatisticky významný. Tieto nálezy sa po 12 mesiacoch liečby odzrkadlili v sekundárnej premennej, týkajúcej sa účinnosti, a to ako zmena z východiskovej hodnoty celkovej minerálnej hustoty bedrovej kosti.</w:t>
      </w:r>
    </w:p>
    <w:p w14:paraId="0D7BF6CB" w14:textId="77777777" w:rsidR="0011484C" w:rsidRPr="00D929C5" w:rsidRDefault="0011484C" w:rsidP="0011484C">
      <w:pPr>
        <w:rPr>
          <w:sz w:val="22"/>
          <w:szCs w:val="22"/>
        </w:rPr>
      </w:pPr>
    </w:p>
    <w:p w14:paraId="67B77667" w14:textId="77777777" w:rsidR="0011484C" w:rsidRPr="00D929C5" w:rsidRDefault="0011484C" w:rsidP="0011484C">
      <w:pPr>
        <w:autoSpaceDE w:val="0"/>
        <w:autoSpaceDN w:val="0"/>
        <w:adjustRightInd w:val="0"/>
        <w:rPr>
          <w:sz w:val="22"/>
          <w:szCs w:val="22"/>
        </w:rPr>
      </w:pPr>
      <w:r w:rsidRPr="00D929C5">
        <w:rPr>
          <w:sz w:val="22"/>
          <w:szCs w:val="22"/>
        </w:rPr>
        <w:t xml:space="preserve">Táto štúdia poskytuje dôkaz o tom, že by sa u žien po </w:t>
      </w:r>
      <w:proofErr w:type="spellStart"/>
      <w:r w:rsidRPr="00D929C5">
        <w:rPr>
          <w:sz w:val="22"/>
          <w:szCs w:val="22"/>
        </w:rPr>
        <w:t>menopauze</w:t>
      </w:r>
      <w:proofErr w:type="spellEnd"/>
      <w:r w:rsidRPr="00D929C5">
        <w:rPr>
          <w:sz w:val="22"/>
          <w:szCs w:val="22"/>
        </w:rPr>
        <w:t xml:space="preserve"> so včasným karcinómom prsníka zaradených na liečbu </w:t>
      </w:r>
      <w:proofErr w:type="spellStart"/>
      <w:r w:rsidRPr="00D929C5">
        <w:rPr>
          <w:sz w:val="22"/>
          <w:szCs w:val="22"/>
        </w:rPr>
        <w:t>anastrozolom</w:t>
      </w:r>
      <w:proofErr w:type="spellEnd"/>
      <w:r w:rsidRPr="00D929C5">
        <w:rPr>
          <w:color w:val="FF0000"/>
          <w:sz w:val="22"/>
          <w:szCs w:val="22"/>
        </w:rPr>
        <w:t xml:space="preserve"> </w:t>
      </w:r>
      <w:r w:rsidRPr="00D929C5">
        <w:rPr>
          <w:sz w:val="22"/>
          <w:szCs w:val="22"/>
        </w:rPr>
        <w:t xml:space="preserve">mohlo zvážiť použitie </w:t>
      </w:r>
      <w:proofErr w:type="spellStart"/>
      <w:r w:rsidRPr="00D929C5">
        <w:rPr>
          <w:sz w:val="22"/>
          <w:szCs w:val="22"/>
        </w:rPr>
        <w:t>bifosfonátov</w:t>
      </w:r>
      <w:proofErr w:type="spellEnd"/>
      <w:r w:rsidRPr="00D929C5">
        <w:rPr>
          <w:sz w:val="22"/>
          <w:szCs w:val="22"/>
        </w:rPr>
        <w:t xml:space="preserve"> na liečbu možného úbytku minerálov v kostiach. </w:t>
      </w:r>
    </w:p>
    <w:p w14:paraId="04463127" w14:textId="77777777" w:rsidR="0011484C" w:rsidRPr="00D929C5" w:rsidRDefault="0011484C" w:rsidP="0011484C">
      <w:pPr>
        <w:pStyle w:val="Textkomentra"/>
        <w:rPr>
          <w:sz w:val="22"/>
          <w:szCs w:val="22"/>
        </w:rPr>
      </w:pPr>
    </w:p>
    <w:p w14:paraId="13D84F95" w14:textId="77777777" w:rsidR="0011484C" w:rsidRPr="002F32F0" w:rsidRDefault="0011484C" w:rsidP="0011484C">
      <w:pPr>
        <w:pStyle w:val="Textkomentra"/>
        <w:outlineLvl w:val="0"/>
        <w:rPr>
          <w:i/>
          <w:sz w:val="22"/>
          <w:szCs w:val="22"/>
          <w:u w:val="single"/>
        </w:rPr>
      </w:pPr>
      <w:r w:rsidRPr="002F32F0">
        <w:rPr>
          <w:i/>
          <w:sz w:val="22"/>
          <w:szCs w:val="22"/>
          <w:u w:val="single"/>
        </w:rPr>
        <w:t>Deti a dospievajúci</w:t>
      </w:r>
    </w:p>
    <w:p w14:paraId="6C71B342" w14:textId="77777777" w:rsidR="0011484C" w:rsidRPr="00D929C5" w:rsidRDefault="0011484C" w:rsidP="0011484C">
      <w:pPr>
        <w:rPr>
          <w:sz w:val="22"/>
          <w:szCs w:val="22"/>
        </w:rPr>
      </w:pPr>
      <w:proofErr w:type="spellStart"/>
      <w:r w:rsidRPr="00D929C5">
        <w:rPr>
          <w:sz w:val="22"/>
          <w:szCs w:val="22"/>
        </w:rPr>
        <w:t>Anastrozol</w:t>
      </w:r>
      <w:proofErr w:type="spellEnd"/>
      <w:r w:rsidRPr="00D929C5">
        <w:rPr>
          <w:sz w:val="22"/>
          <w:szCs w:val="22"/>
        </w:rPr>
        <w:t xml:space="preserve"> nie je indikovaný na použitie u detí a dospievajúcich. Účinnosť v skúmaných populáciách detí a dospievajúcich sa nestanovila (pozri nižšie). Počet liečených detí bol príliš obmedzený na to, aby sa vyvodili spoľahlivé závery týkajúce sa bezpečnosti. Nie sú dostupné žiadne údaje o dlhodobých účinkoch liečby </w:t>
      </w:r>
      <w:proofErr w:type="spellStart"/>
      <w:r w:rsidRPr="00D929C5">
        <w:rPr>
          <w:sz w:val="22"/>
          <w:szCs w:val="22"/>
        </w:rPr>
        <w:t>anastrozolom</w:t>
      </w:r>
      <w:proofErr w:type="spellEnd"/>
      <w:r w:rsidRPr="00D929C5">
        <w:rPr>
          <w:sz w:val="22"/>
          <w:szCs w:val="22"/>
        </w:rPr>
        <w:t xml:space="preserve"> u detí a dospie</w:t>
      </w:r>
      <w:r w:rsidR="008A431F">
        <w:rPr>
          <w:sz w:val="22"/>
          <w:szCs w:val="22"/>
        </w:rPr>
        <w:t>vajúcich (pozri tiež časť 5.3).</w:t>
      </w:r>
    </w:p>
    <w:p w14:paraId="60F6EAA7" w14:textId="77777777" w:rsidR="0011484C" w:rsidRPr="00D929C5" w:rsidRDefault="0011484C" w:rsidP="0011484C">
      <w:pPr>
        <w:rPr>
          <w:sz w:val="22"/>
          <w:szCs w:val="22"/>
        </w:rPr>
      </w:pPr>
      <w:r w:rsidRPr="00D929C5">
        <w:rPr>
          <w:sz w:val="22"/>
          <w:szCs w:val="22"/>
        </w:rPr>
        <w:t xml:space="preserve">Európska agentúra </w:t>
      </w:r>
      <w:r>
        <w:rPr>
          <w:sz w:val="22"/>
          <w:szCs w:val="22"/>
        </w:rPr>
        <w:t xml:space="preserve">pre lieky </w:t>
      </w:r>
      <w:r w:rsidRPr="00D929C5">
        <w:rPr>
          <w:sz w:val="22"/>
          <w:szCs w:val="22"/>
        </w:rPr>
        <w:t>upustila od povinnosti predložiť výsledky štúdií s </w:t>
      </w:r>
      <w:proofErr w:type="spellStart"/>
      <w:r w:rsidRPr="00D929C5">
        <w:rPr>
          <w:sz w:val="22"/>
          <w:szCs w:val="22"/>
        </w:rPr>
        <w:t>anastrozolom</w:t>
      </w:r>
      <w:proofErr w:type="spellEnd"/>
      <w:r w:rsidRPr="00D929C5">
        <w:rPr>
          <w:sz w:val="22"/>
          <w:szCs w:val="22"/>
        </w:rPr>
        <w:t xml:space="preserve"> v jednej alebo niekoľkých podskupinách populácie detí a dospievajúcich nízkeho vzrastu spôsobeného nedostatočnosťou rastového hormónu (</w:t>
      </w:r>
      <w:proofErr w:type="spellStart"/>
      <w:r w:rsidRPr="00D929C5">
        <w:rPr>
          <w:sz w:val="22"/>
          <w:szCs w:val="22"/>
        </w:rPr>
        <w:t>growth</w:t>
      </w:r>
      <w:proofErr w:type="spellEnd"/>
      <w:r w:rsidRPr="00D929C5">
        <w:rPr>
          <w:sz w:val="22"/>
          <w:szCs w:val="22"/>
        </w:rPr>
        <w:t xml:space="preserve"> </w:t>
      </w:r>
      <w:proofErr w:type="spellStart"/>
      <w:r w:rsidRPr="00D929C5">
        <w:rPr>
          <w:sz w:val="22"/>
          <w:szCs w:val="22"/>
        </w:rPr>
        <w:t>hormone</w:t>
      </w:r>
      <w:proofErr w:type="spellEnd"/>
      <w:r w:rsidRPr="00D929C5">
        <w:rPr>
          <w:sz w:val="22"/>
          <w:szCs w:val="22"/>
        </w:rPr>
        <w:t xml:space="preserve"> </w:t>
      </w:r>
      <w:proofErr w:type="spellStart"/>
      <w:r w:rsidRPr="00D929C5">
        <w:rPr>
          <w:sz w:val="22"/>
          <w:szCs w:val="22"/>
        </w:rPr>
        <w:t>deficiency</w:t>
      </w:r>
      <w:proofErr w:type="spellEnd"/>
      <w:r w:rsidRPr="00D929C5">
        <w:rPr>
          <w:sz w:val="22"/>
          <w:szCs w:val="22"/>
        </w:rPr>
        <w:t xml:space="preserve">, GHD), </w:t>
      </w:r>
      <w:proofErr w:type="spellStart"/>
      <w:r w:rsidRPr="00D929C5">
        <w:rPr>
          <w:sz w:val="22"/>
          <w:szCs w:val="22"/>
        </w:rPr>
        <w:t>testikulárnou</w:t>
      </w:r>
      <w:proofErr w:type="spellEnd"/>
      <w:r w:rsidRPr="00D929C5">
        <w:rPr>
          <w:sz w:val="22"/>
          <w:szCs w:val="22"/>
        </w:rPr>
        <w:t xml:space="preserve"> </w:t>
      </w:r>
      <w:proofErr w:type="spellStart"/>
      <w:r w:rsidRPr="00D929C5">
        <w:rPr>
          <w:sz w:val="22"/>
          <w:szCs w:val="22"/>
        </w:rPr>
        <w:t>toxikózou</w:t>
      </w:r>
      <w:proofErr w:type="spellEnd"/>
      <w:r w:rsidRPr="00D929C5">
        <w:rPr>
          <w:sz w:val="22"/>
          <w:szCs w:val="22"/>
        </w:rPr>
        <w:t xml:space="preserve">, </w:t>
      </w:r>
      <w:proofErr w:type="spellStart"/>
      <w:r w:rsidRPr="00D929C5">
        <w:rPr>
          <w:sz w:val="22"/>
          <w:szCs w:val="22"/>
        </w:rPr>
        <w:t>gynekomastiou</w:t>
      </w:r>
      <w:proofErr w:type="spellEnd"/>
      <w:r w:rsidRPr="00D929C5">
        <w:rPr>
          <w:sz w:val="22"/>
          <w:szCs w:val="22"/>
        </w:rPr>
        <w:t xml:space="preserve"> a </w:t>
      </w:r>
      <w:proofErr w:type="spellStart"/>
      <w:r w:rsidRPr="00D929C5">
        <w:rPr>
          <w:sz w:val="22"/>
          <w:szCs w:val="22"/>
        </w:rPr>
        <w:t>McCuneovým-Albrightovým</w:t>
      </w:r>
      <w:proofErr w:type="spellEnd"/>
      <w:r w:rsidRPr="00D929C5">
        <w:rPr>
          <w:sz w:val="22"/>
          <w:szCs w:val="22"/>
        </w:rPr>
        <w:t xml:space="preserve"> syndrómom (pozri časť 4.2).</w:t>
      </w:r>
    </w:p>
    <w:p w14:paraId="7B94F649" w14:textId="77777777" w:rsidR="0011484C" w:rsidRPr="00D929C5" w:rsidRDefault="0011484C" w:rsidP="0011484C">
      <w:pPr>
        <w:pStyle w:val="Textkomentra"/>
        <w:rPr>
          <w:sz w:val="22"/>
          <w:szCs w:val="22"/>
        </w:rPr>
      </w:pPr>
    </w:p>
    <w:p w14:paraId="1CB944C2" w14:textId="77777777" w:rsidR="0011484C" w:rsidRPr="00D929C5" w:rsidRDefault="0011484C" w:rsidP="0011484C">
      <w:pPr>
        <w:rPr>
          <w:i/>
          <w:iCs/>
          <w:sz w:val="22"/>
          <w:szCs w:val="22"/>
        </w:rPr>
      </w:pPr>
      <w:r w:rsidRPr="00D929C5">
        <w:rPr>
          <w:i/>
          <w:iCs/>
          <w:sz w:val="22"/>
          <w:szCs w:val="22"/>
        </w:rPr>
        <w:t>Nízky vzrast spôsobený nedostatočnosťou rastového hormónu</w:t>
      </w:r>
    </w:p>
    <w:p w14:paraId="0A8F923C" w14:textId="77777777" w:rsidR="0011484C" w:rsidRPr="00D929C5" w:rsidRDefault="0011484C" w:rsidP="0011484C">
      <w:pPr>
        <w:rPr>
          <w:sz w:val="22"/>
          <w:szCs w:val="22"/>
        </w:rPr>
      </w:pPr>
      <w:r w:rsidRPr="00D929C5">
        <w:rPr>
          <w:sz w:val="22"/>
          <w:szCs w:val="22"/>
        </w:rPr>
        <w:t>V </w:t>
      </w:r>
      <w:proofErr w:type="spellStart"/>
      <w:r w:rsidRPr="00D929C5">
        <w:rPr>
          <w:sz w:val="22"/>
          <w:szCs w:val="22"/>
        </w:rPr>
        <w:t>randomizovanej</w:t>
      </w:r>
      <w:proofErr w:type="spellEnd"/>
      <w:r w:rsidRPr="00D929C5">
        <w:rPr>
          <w:sz w:val="22"/>
          <w:szCs w:val="22"/>
        </w:rPr>
        <w:t xml:space="preserve">, dvojito zaslepenej, </w:t>
      </w:r>
      <w:proofErr w:type="spellStart"/>
      <w:r w:rsidRPr="00D929C5">
        <w:rPr>
          <w:sz w:val="22"/>
          <w:szCs w:val="22"/>
        </w:rPr>
        <w:t>multicentrickej</w:t>
      </w:r>
      <w:proofErr w:type="spellEnd"/>
      <w:r w:rsidRPr="00D929C5">
        <w:rPr>
          <w:sz w:val="22"/>
          <w:szCs w:val="22"/>
        </w:rPr>
        <w:t xml:space="preserve"> štúdii sa hodnotilo 52 chlapcov v puberte (vo veku 11 – 16 rokov) s GHD, liečených 12 – 36 mesiacov </w:t>
      </w:r>
      <w:proofErr w:type="spellStart"/>
      <w:r>
        <w:rPr>
          <w:sz w:val="22"/>
          <w:szCs w:val="22"/>
        </w:rPr>
        <w:t>anastrozolom</w:t>
      </w:r>
      <w:proofErr w:type="spellEnd"/>
      <w:r w:rsidRPr="00D929C5">
        <w:rPr>
          <w:sz w:val="22"/>
          <w:szCs w:val="22"/>
        </w:rPr>
        <w:t xml:space="preserve"> 1 mg/deň alebo placebom v kombinácii s rastovým hormónom. Iba 14 pacientov liečených </w:t>
      </w:r>
      <w:proofErr w:type="spellStart"/>
      <w:r>
        <w:rPr>
          <w:sz w:val="22"/>
          <w:szCs w:val="22"/>
        </w:rPr>
        <w:t>anastrozolom</w:t>
      </w:r>
      <w:proofErr w:type="spellEnd"/>
      <w:r w:rsidR="008A431F">
        <w:rPr>
          <w:sz w:val="22"/>
          <w:szCs w:val="22"/>
        </w:rPr>
        <w:t xml:space="preserve"> dokončilo 36-mesačnú liečbu.</w:t>
      </w:r>
    </w:p>
    <w:p w14:paraId="40E9AD69" w14:textId="77777777" w:rsidR="0011484C" w:rsidRPr="00D929C5" w:rsidRDefault="0011484C" w:rsidP="0011484C">
      <w:pPr>
        <w:autoSpaceDE w:val="0"/>
        <w:autoSpaceDN w:val="0"/>
        <w:adjustRightInd w:val="0"/>
        <w:rPr>
          <w:sz w:val="22"/>
          <w:szCs w:val="22"/>
        </w:rPr>
      </w:pPr>
      <w:r w:rsidRPr="00D929C5">
        <w:rPr>
          <w:sz w:val="22"/>
          <w:szCs w:val="22"/>
        </w:rPr>
        <w:t>V porovnaní s placebom sa nepozoroval žiadny štatisticky významný rozdiel v parametroch súvisiacich s rastom, t. j. v predpovedanej výške dospelých, výške, smerodajnej odchýlke výšky (</w:t>
      </w:r>
      <w:proofErr w:type="spellStart"/>
      <w:r w:rsidRPr="00D929C5">
        <w:rPr>
          <w:sz w:val="22"/>
          <w:szCs w:val="22"/>
        </w:rPr>
        <w:t>standard</w:t>
      </w:r>
      <w:proofErr w:type="spellEnd"/>
      <w:r w:rsidRPr="00D929C5">
        <w:rPr>
          <w:sz w:val="22"/>
          <w:szCs w:val="22"/>
        </w:rPr>
        <w:t xml:space="preserve"> </w:t>
      </w:r>
      <w:proofErr w:type="spellStart"/>
      <w:r w:rsidRPr="00D929C5">
        <w:rPr>
          <w:sz w:val="22"/>
          <w:szCs w:val="22"/>
        </w:rPr>
        <w:t>deviation</w:t>
      </w:r>
      <w:proofErr w:type="spellEnd"/>
      <w:r w:rsidRPr="00D929C5">
        <w:rPr>
          <w:sz w:val="22"/>
          <w:szCs w:val="22"/>
        </w:rPr>
        <w:t xml:space="preserve"> </w:t>
      </w:r>
      <w:proofErr w:type="spellStart"/>
      <w:r w:rsidRPr="00D929C5">
        <w:rPr>
          <w:sz w:val="22"/>
          <w:szCs w:val="22"/>
        </w:rPr>
        <w:t>score</w:t>
      </w:r>
      <w:proofErr w:type="spellEnd"/>
      <w:r w:rsidRPr="00D929C5">
        <w:rPr>
          <w:sz w:val="22"/>
          <w:szCs w:val="22"/>
        </w:rPr>
        <w:t>, SDS) a rýchlosti rastu. Konečné údaje o výške neboli dostupné. Zatiaľ čo počet liečených detí bol príliš obmedzený na to, aby sa vyvodili spoľahlivé závery týkajúce sa bezpečnosti, v skupine s </w:t>
      </w:r>
      <w:proofErr w:type="spellStart"/>
      <w:r>
        <w:rPr>
          <w:sz w:val="22"/>
          <w:szCs w:val="22"/>
        </w:rPr>
        <w:t>anastrozolom</w:t>
      </w:r>
      <w:proofErr w:type="spellEnd"/>
      <w:r w:rsidRPr="00D929C5">
        <w:rPr>
          <w:sz w:val="22"/>
          <w:szCs w:val="22"/>
        </w:rPr>
        <w:t xml:space="preserve"> sa v porovnaní s placebom zaznamenal zvýšený výskyt fraktúr a trend k zníženiu minerálnej hustoty kostí.</w:t>
      </w:r>
    </w:p>
    <w:p w14:paraId="5FAE7606" w14:textId="77777777" w:rsidR="0011484C" w:rsidRPr="00D929C5" w:rsidRDefault="0011484C" w:rsidP="0011484C">
      <w:pPr>
        <w:pStyle w:val="Textkomentra"/>
        <w:rPr>
          <w:sz w:val="22"/>
          <w:szCs w:val="22"/>
        </w:rPr>
      </w:pPr>
    </w:p>
    <w:p w14:paraId="42F2BF10" w14:textId="77777777" w:rsidR="0011484C" w:rsidRPr="00D929C5" w:rsidRDefault="0011484C" w:rsidP="0011484C">
      <w:pPr>
        <w:rPr>
          <w:i/>
          <w:iCs/>
          <w:sz w:val="22"/>
          <w:szCs w:val="22"/>
        </w:rPr>
      </w:pPr>
      <w:proofErr w:type="spellStart"/>
      <w:r w:rsidRPr="00D929C5">
        <w:rPr>
          <w:i/>
          <w:iCs/>
          <w:sz w:val="22"/>
          <w:szCs w:val="22"/>
        </w:rPr>
        <w:t>Testikulárna</w:t>
      </w:r>
      <w:proofErr w:type="spellEnd"/>
      <w:r w:rsidRPr="00D929C5">
        <w:rPr>
          <w:i/>
          <w:iCs/>
          <w:sz w:val="22"/>
          <w:szCs w:val="22"/>
        </w:rPr>
        <w:t xml:space="preserve"> </w:t>
      </w:r>
      <w:proofErr w:type="spellStart"/>
      <w:r w:rsidRPr="00D929C5">
        <w:rPr>
          <w:i/>
          <w:iCs/>
          <w:sz w:val="22"/>
          <w:szCs w:val="22"/>
        </w:rPr>
        <w:t>toxikóza</w:t>
      </w:r>
      <w:proofErr w:type="spellEnd"/>
    </w:p>
    <w:p w14:paraId="75989E74" w14:textId="77777777" w:rsidR="0011484C" w:rsidRPr="00D929C5" w:rsidRDefault="0011484C" w:rsidP="0011484C">
      <w:pPr>
        <w:rPr>
          <w:sz w:val="22"/>
          <w:szCs w:val="22"/>
        </w:rPr>
      </w:pPr>
      <w:r w:rsidRPr="00D929C5">
        <w:rPr>
          <w:sz w:val="22"/>
          <w:szCs w:val="22"/>
        </w:rPr>
        <w:t xml:space="preserve">V otvorenej, neporovnávajúcej, </w:t>
      </w:r>
      <w:proofErr w:type="spellStart"/>
      <w:r w:rsidRPr="00D929C5">
        <w:rPr>
          <w:sz w:val="22"/>
          <w:szCs w:val="22"/>
        </w:rPr>
        <w:t>multicentrickej</w:t>
      </w:r>
      <w:proofErr w:type="spellEnd"/>
      <w:r w:rsidRPr="00D929C5">
        <w:rPr>
          <w:sz w:val="22"/>
          <w:szCs w:val="22"/>
        </w:rPr>
        <w:t xml:space="preserve"> štúdii sa hodnotilo 14 pacientov mužského pohlavia (vo veku 2 – 9 rokov) s familiárnym výskytom predčasnej puberty (</w:t>
      </w:r>
      <w:proofErr w:type="spellStart"/>
      <w:r w:rsidRPr="00D929C5">
        <w:rPr>
          <w:sz w:val="22"/>
          <w:szCs w:val="22"/>
        </w:rPr>
        <w:t>pubertas</w:t>
      </w:r>
      <w:proofErr w:type="spellEnd"/>
      <w:r w:rsidRPr="00D929C5">
        <w:rPr>
          <w:sz w:val="22"/>
          <w:szCs w:val="22"/>
        </w:rPr>
        <w:t xml:space="preserve"> </w:t>
      </w:r>
      <w:proofErr w:type="spellStart"/>
      <w:r w:rsidRPr="00D929C5">
        <w:rPr>
          <w:sz w:val="22"/>
          <w:szCs w:val="22"/>
        </w:rPr>
        <w:t>praecox</w:t>
      </w:r>
      <w:proofErr w:type="spellEnd"/>
      <w:r w:rsidRPr="00D929C5">
        <w:rPr>
          <w:sz w:val="22"/>
          <w:szCs w:val="22"/>
        </w:rPr>
        <w:t xml:space="preserve">) u mužov, známej tiež ako </w:t>
      </w:r>
      <w:proofErr w:type="spellStart"/>
      <w:r w:rsidRPr="00D929C5">
        <w:rPr>
          <w:sz w:val="22"/>
          <w:szCs w:val="22"/>
        </w:rPr>
        <w:t>testikulárna</w:t>
      </w:r>
      <w:proofErr w:type="spellEnd"/>
      <w:r w:rsidRPr="00D929C5">
        <w:rPr>
          <w:sz w:val="22"/>
          <w:szCs w:val="22"/>
        </w:rPr>
        <w:t xml:space="preserve"> </w:t>
      </w:r>
      <w:proofErr w:type="spellStart"/>
      <w:r w:rsidRPr="00D929C5">
        <w:rPr>
          <w:sz w:val="22"/>
          <w:szCs w:val="22"/>
        </w:rPr>
        <w:t>toxikóza</w:t>
      </w:r>
      <w:proofErr w:type="spellEnd"/>
      <w:r w:rsidRPr="00D929C5">
        <w:rPr>
          <w:sz w:val="22"/>
          <w:szCs w:val="22"/>
        </w:rPr>
        <w:t xml:space="preserve">, liečenej kombináciou </w:t>
      </w:r>
      <w:proofErr w:type="spellStart"/>
      <w:r w:rsidRPr="00D929C5">
        <w:rPr>
          <w:sz w:val="22"/>
          <w:szCs w:val="22"/>
        </w:rPr>
        <w:t>anastrozol</w:t>
      </w:r>
      <w:proofErr w:type="spellEnd"/>
      <w:r w:rsidRPr="00D929C5">
        <w:rPr>
          <w:sz w:val="22"/>
          <w:szCs w:val="22"/>
        </w:rPr>
        <w:t xml:space="preserve"> + </w:t>
      </w:r>
      <w:proofErr w:type="spellStart"/>
      <w:r w:rsidRPr="00D929C5">
        <w:rPr>
          <w:sz w:val="22"/>
          <w:szCs w:val="22"/>
        </w:rPr>
        <w:t>bikalutamid</w:t>
      </w:r>
      <w:proofErr w:type="spellEnd"/>
      <w:r w:rsidRPr="00D929C5">
        <w:rPr>
          <w:sz w:val="22"/>
          <w:szCs w:val="22"/>
        </w:rPr>
        <w:t>. Primárnym cieľom bolo počas 12 mesiacov stanoviť účinnosť a bezpečnosť tohto kombinovaného liečebného režimu. 13 zo 14 zaradených pacientov dokončilo 12-mesačnú kombinovanú liečbu (1 pacient sa na kontrolu nedostavil). Po 12 mesiacoch liečby sa v porovnaní s rýchlosťou rastu počas 6 mesiacov pred vstupom do štúdie nezistil žiadny významný rozdiel v rýchlosti rastu.</w:t>
      </w:r>
    </w:p>
    <w:p w14:paraId="7B03B994" w14:textId="77777777" w:rsidR="0011484C" w:rsidRPr="00D929C5" w:rsidRDefault="0011484C" w:rsidP="0011484C">
      <w:pPr>
        <w:pStyle w:val="Textkomentra"/>
        <w:rPr>
          <w:i/>
          <w:iCs/>
          <w:sz w:val="22"/>
          <w:szCs w:val="22"/>
        </w:rPr>
      </w:pPr>
    </w:p>
    <w:p w14:paraId="58F36344" w14:textId="77777777" w:rsidR="0011484C" w:rsidRPr="00D929C5" w:rsidRDefault="0011484C" w:rsidP="0011484C">
      <w:pPr>
        <w:rPr>
          <w:i/>
          <w:iCs/>
          <w:sz w:val="22"/>
          <w:szCs w:val="22"/>
        </w:rPr>
      </w:pPr>
      <w:r w:rsidRPr="00D929C5">
        <w:rPr>
          <w:i/>
          <w:iCs/>
          <w:sz w:val="22"/>
          <w:szCs w:val="22"/>
        </w:rPr>
        <w:t>Štúdie u pacientov s</w:t>
      </w:r>
      <w:r>
        <w:rPr>
          <w:i/>
          <w:iCs/>
          <w:sz w:val="22"/>
          <w:szCs w:val="22"/>
        </w:rPr>
        <w:t> </w:t>
      </w:r>
      <w:proofErr w:type="spellStart"/>
      <w:r w:rsidRPr="00D929C5">
        <w:rPr>
          <w:i/>
          <w:iCs/>
          <w:sz w:val="22"/>
          <w:szCs w:val="22"/>
        </w:rPr>
        <w:t>gynekomastiou</w:t>
      </w:r>
      <w:proofErr w:type="spellEnd"/>
    </w:p>
    <w:p w14:paraId="0C341554" w14:textId="77777777" w:rsidR="0011484C" w:rsidRPr="00D929C5" w:rsidRDefault="0011484C" w:rsidP="0011484C">
      <w:pPr>
        <w:rPr>
          <w:sz w:val="22"/>
          <w:szCs w:val="22"/>
        </w:rPr>
      </w:pPr>
      <w:r w:rsidRPr="00D929C5">
        <w:rPr>
          <w:sz w:val="22"/>
          <w:szCs w:val="22"/>
        </w:rPr>
        <w:t xml:space="preserve">Štúdia 0006 bola </w:t>
      </w:r>
      <w:proofErr w:type="spellStart"/>
      <w:r w:rsidRPr="00D929C5">
        <w:rPr>
          <w:sz w:val="22"/>
          <w:szCs w:val="22"/>
        </w:rPr>
        <w:t>randomizovaná</w:t>
      </w:r>
      <w:proofErr w:type="spellEnd"/>
      <w:r w:rsidRPr="00D929C5">
        <w:rPr>
          <w:sz w:val="22"/>
          <w:szCs w:val="22"/>
        </w:rPr>
        <w:t xml:space="preserve">, dvojito zaslepená, </w:t>
      </w:r>
      <w:proofErr w:type="spellStart"/>
      <w:r w:rsidRPr="00D929C5">
        <w:rPr>
          <w:sz w:val="22"/>
          <w:szCs w:val="22"/>
        </w:rPr>
        <w:t>multicentrická</w:t>
      </w:r>
      <w:proofErr w:type="spellEnd"/>
      <w:r w:rsidRPr="00D929C5">
        <w:rPr>
          <w:sz w:val="22"/>
          <w:szCs w:val="22"/>
        </w:rPr>
        <w:t xml:space="preserve"> a bolo do nej zaradených 8</w:t>
      </w:r>
      <w:r w:rsidR="00F64F6C">
        <w:rPr>
          <w:sz w:val="22"/>
          <w:szCs w:val="22"/>
        </w:rPr>
        <w:t>2</w:t>
      </w:r>
      <w:r w:rsidR="008A431F">
        <w:rPr>
          <w:sz w:val="22"/>
          <w:szCs w:val="22"/>
        </w:rPr>
        <w:t> </w:t>
      </w:r>
      <w:r w:rsidRPr="00D929C5">
        <w:rPr>
          <w:sz w:val="22"/>
          <w:szCs w:val="22"/>
        </w:rPr>
        <w:t>chlapcov v puberte (vo veku 11 – 18 rokov vrátane) s </w:t>
      </w:r>
      <w:proofErr w:type="spellStart"/>
      <w:r w:rsidRPr="00D929C5">
        <w:rPr>
          <w:sz w:val="22"/>
          <w:szCs w:val="22"/>
        </w:rPr>
        <w:t>gynekomastiou</w:t>
      </w:r>
      <w:proofErr w:type="spellEnd"/>
      <w:r w:rsidRPr="00D929C5">
        <w:rPr>
          <w:sz w:val="22"/>
          <w:szCs w:val="22"/>
        </w:rPr>
        <w:t xml:space="preserve"> trvajúcou dlhšie ako 12 mesiacov, liečených </w:t>
      </w:r>
      <w:proofErr w:type="spellStart"/>
      <w:r w:rsidRPr="00D929C5">
        <w:rPr>
          <w:sz w:val="22"/>
          <w:szCs w:val="22"/>
        </w:rPr>
        <w:t>anastrozolom</w:t>
      </w:r>
      <w:proofErr w:type="spellEnd"/>
      <w:r w:rsidRPr="00D929C5">
        <w:rPr>
          <w:sz w:val="22"/>
          <w:szCs w:val="22"/>
        </w:rPr>
        <w:t xml:space="preserve"> v dávke 1 mg/deň alebo placebom denne počas 6 mesiacov. </w:t>
      </w:r>
    </w:p>
    <w:p w14:paraId="4522E107" w14:textId="77777777" w:rsidR="0011484C" w:rsidRPr="00D929C5" w:rsidRDefault="0011484C" w:rsidP="0011484C">
      <w:pPr>
        <w:rPr>
          <w:sz w:val="22"/>
          <w:szCs w:val="22"/>
        </w:rPr>
      </w:pPr>
      <w:r w:rsidRPr="00D929C5">
        <w:rPr>
          <w:sz w:val="22"/>
          <w:szCs w:val="22"/>
        </w:rPr>
        <w:t xml:space="preserve">Medzi skupinou liečenou 1 mg </w:t>
      </w:r>
      <w:proofErr w:type="spellStart"/>
      <w:r w:rsidRPr="00D929C5">
        <w:rPr>
          <w:sz w:val="22"/>
          <w:szCs w:val="22"/>
        </w:rPr>
        <w:t>anastrozolu</w:t>
      </w:r>
      <w:proofErr w:type="spellEnd"/>
      <w:r w:rsidRPr="00D929C5">
        <w:rPr>
          <w:sz w:val="22"/>
          <w:szCs w:val="22"/>
        </w:rPr>
        <w:t xml:space="preserve"> a skupinou s placebom sa nepozoroval žiadny významný rozdiel v počte pacientov, ktorým sa po 6 mesiacoch liečby znížil objem pŕs o 50 alebo viac percent.</w:t>
      </w:r>
    </w:p>
    <w:p w14:paraId="661F9525" w14:textId="77777777" w:rsidR="0011484C" w:rsidRPr="00D929C5" w:rsidRDefault="0011484C" w:rsidP="0011484C">
      <w:pPr>
        <w:autoSpaceDE w:val="0"/>
        <w:autoSpaceDN w:val="0"/>
        <w:adjustRightInd w:val="0"/>
        <w:rPr>
          <w:sz w:val="22"/>
          <w:szCs w:val="22"/>
        </w:rPr>
      </w:pPr>
    </w:p>
    <w:p w14:paraId="64A990D8" w14:textId="77777777" w:rsidR="0011484C" w:rsidRPr="00D929C5" w:rsidRDefault="0011484C" w:rsidP="0011484C">
      <w:pPr>
        <w:autoSpaceDE w:val="0"/>
        <w:autoSpaceDN w:val="0"/>
        <w:adjustRightInd w:val="0"/>
        <w:rPr>
          <w:sz w:val="22"/>
          <w:szCs w:val="22"/>
        </w:rPr>
      </w:pPr>
      <w:r w:rsidRPr="00D929C5">
        <w:rPr>
          <w:sz w:val="22"/>
          <w:szCs w:val="22"/>
        </w:rPr>
        <w:lastRenderedPageBreak/>
        <w:t xml:space="preserve">Štúdia 0001 bola otvorená </w:t>
      </w:r>
      <w:proofErr w:type="spellStart"/>
      <w:r w:rsidRPr="00D929C5">
        <w:rPr>
          <w:sz w:val="22"/>
          <w:szCs w:val="22"/>
        </w:rPr>
        <w:t>farmakokinetická</w:t>
      </w:r>
      <w:proofErr w:type="spellEnd"/>
      <w:r w:rsidRPr="00D929C5">
        <w:rPr>
          <w:sz w:val="22"/>
          <w:szCs w:val="22"/>
        </w:rPr>
        <w:t xml:space="preserve"> štúdia s opakovaným podávaním </w:t>
      </w:r>
      <w:proofErr w:type="spellStart"/>
      <w:r w:rsidRPr="00D929C5">
        <w:rPr>
          <w:sz w:val="22"/>
          <w:szCs w:val="22"/>
        </w:rPr>
        <w:t>anastrozolu</w:t>
      </w:r>
      <w:proofErr w:type="spellEnd"/>
      <w:r w:rsidRPr="00D929C5">
        <w:rPr>
          <w:sz w:val="22"/>
          <w:szCs w:val="22"/>
        </w:rPr>
        <w:t xml:space="preserve"> 1 mg/deň 36</w:t>
      </w:r>
      <w:r w:rsidR="008A431F">
        <w:rPr>
          <w:sz w:val="22"/>
          <w:szCs w:val="22"/>
        </w:rPr>
        <w:t> </w:t>
      </w:r>
      <w:r w:rsidRPr="00D929C5">
        <w:rPr>
          <w:sz w:val="22"/>
          <w:szCs w:val="22"/>
        </w:rPr>
        <w:t xml:space="preserve">chlapcom v puberte s </w:t>
      </w:r>
      <w:proofErr w:type="spellStart"/>
      <w:r w:rsidRPr="00D929C5">
        <w:rPr>
          <w:sz w:val="22"/>
          <w:szCs w:val="22"/>
        </w:rPr>
        <w:t>gynekomastiou</w:t>
      </w:r>
      <w:proofErr w:type="spellEnd"/>
      <w:r w:rsidRPr="00D929C5">
        <w:rPr>
          <w:sz w:val="22"/>
          <w:szCs w:val="22"/>
        </w:rPr>
        <w:t xml:space="preserve"> trvajúcou menej než 12 mesiacov. Sekundárnymi cieľmi boli: zhodnotenie podielu pacientov, u ktorých po 6 mesiacoch liečby v rámci štúdie došlo v porovnaní s východiskovým stavom (1. deň liečby) k 50 % zmenšeniu veľkosti oboch prsníkov; zhodnotenie znášanlivosti liečby a bezpečnosť. Po 6 mesiacoch sa u  56 % (20/36) chlapcov sa pozoroval 50 % a väčší pokles celkového objemu pŕs .</w:t>
      </w:r>
    </w:p>
    <w:p w14:paraId="58269798" w14:textId="77777777" w:rsidR="0011484C" w:rsidRPr="00D929C5" w:rsidRDefault="0011484C" w:rsidP="0011484C">
      <w:pPr>
        <w:pStyle w:val="Textkomentra"/>
        <w:rPr>
          <w:sz w:val="22"/>
          <w:szCs w:val="22"/>
        </w:rPr>
      </w:pPr>
    </w:p>
    <w:p w14:paraId="5B9275FD" w14:textId="77777777" w:rsidR="0011484C" w:rsidRPr="00D929C5" w:rsidRDefault="0011484C" w:rsidP="0011484C">
      <w:pPr>
        <w:rPr>
          <w:i/>
          <w:iCs/>
          <w:sz w:val="22"/>
          <w:szCs w:val="22"/>
        </w:rPr>
      </w:pPr>
      <w:r w:rsidRPr="00D929C5">
        <w:rPr>
          <w:i/>
          <w:iCs/>
          <w:sz w:val="22"/>
          <w:szCs w:val="22"/>
        </w:rPr>
        <w:t>Štúdie u </w:t>
      </w:r>
      <w:proofErr w:type="spellStart"/>
      <w:r w:rsidRPr="00D929C5">
        <w:rPr>
          <w:i/>
          <w:iCs/>
          <w:sz w:val="22"/>
          <w:szCs w:val="22"/>
        </w:rPr>
        <w:t>pacientok</w:t>
      </w:r>
      <w:proofErr w:type="spellEnd"/>
      <w:r w:rsidRPr="00D929C5">
        <w:rPr>
          <w:i/>
          <w:iCs/>
          <w:sz w:val="22"/>
          <w:szCs w:val="22"/>
        </w:rPr>
        <w:t xml:space="preserve"> s </w:t>
      </w:r>
      <w:proofErr w:type="spellStart"/>
      <w:r w:rsidRPr="00D929C5">
        <w:rPr>
          <w:i/>
          <w:iCs/>
          <w:sz w:val="22"/>
          <w:szCs w:val="22"/>
        </w:rPr>
        <w:t>McCuneovým-Albrightovým</w:t>
      </w:r>
      <w:proofErr w:type="spellEnd"/>
      <w:r w:rsidRPr="00D929C5">
        <w:rPr>
          <w:i/>
          <w:iCs/>
          <w:sz w:val="22"/>
          <w:szCs w:val="22"/>
        </w:rPr>
        <w:t xml:space="preserve"> syndrómom</w:t>
      </w:r>
    </w:p>
    <w:p w14:paraId="1CC54799" w14:textId="77777777" w:rsidR="0011484C" w:rsidRPr="00D929C5" w:rsidRDefault="0011484C" w:rsidP="0011484C">
      <w:pPr>
        <w:rPr>
          <w:sz w:val="22"/>
          <w:szCs w:val="22"/>
        </w:rPr>
      </w:pPr>
      <w:r w:rsidRPr="00D929C5">
        <w:rPr>
          <w:sz w:val="22"/>
          <w:szCs w:val="22"/>
        </w:rPr>
        <w:t xml:space="preserve">Štúdia 0046 bola medzinárodná, </w:t>
      </w:r>
      <w:proofErr w:type="spellStart"/>
      <w:r w:rsidRPr="00D929C5">
        <w:rPr>
          <w:sz w:val="22"/>
          <w:szCs w:val="22"/>
        </w:rPr>
        <w:t>multicentrická</w:t>
      </w:r>
      <w:proofErr w:type="spellEnd"/>
      <w:r w:rsidRPr="00D929C5">
        <w:rPr>
          <w:sz w:val="22"/>
          <w:szCs w:val="22"/>
        </w:rPr>
        <w:t xml:space="preserve">, otvorená, </w:t>
      </w:r>
      <w:proofErr w:type="spellStart"/>
      <w:r w:rsidRPr="00D929C5">
        <w:rPr>
          <w:sz w:val="22"/>
          <w:szCs w:val="22"/>
        </w:rPr>
        <w:t>exploračná</w:t>
      </w:r>
      <w:proofErr w:type="spellEnd"/>
      <w:r w:rsidRPr="00D929C5">
        <w:rPr>
          <w:sz w:val="22"/>
          <w:szCs w:val="22"/>
        </w:rPr>
        <w:t xml:space="preserve"> štúdia, v ktorej sa podával </w:t>
      </w:r>
      <w:proofErr w:type="spellStart"/>
      <w:r w:rsidRPr="00D929C5">
        <w:rPr>
          <w:sz w:val="22"/>
          <w:szCs w:val="22"/>
        </w:rPr>
        <w:t>anastrozol</w:t>
      </w:r>
      <w:proofErr w:type="spellEnd"/>
      <w:r w:rsidRPr="00D929C5">
        <w:rPr>
          <w:sz w:val="22"/>
          <w:szCs w:val="22"/>
        </w:rPr>
        <w:t xml:space="preserve"> 28 dievčatám (vo veku 2 až ≤ 10 rokov) s </w:t>
      </w:r>
      <w:proofErr w:type="spellStart"/>
      <w:r w:rsidRPr="00D929C5">
        <w:rPr>
          <w:sz w:val="22"/>
          <w:szCs w:val="22"/>
        </w:rPr>
        <w:t>McCuneovým-Albrightovým</w:t>
      </w:r>
      <w:proofErr w:type="spellEnd"/>
      <w:r w:rsidRPr="00D929C5">
        <w:rPr>
          <w:sz w:val="22"/>
          <w:szCs w:val="22"/>
        </w:rPr>
        <w:t xml:space="preserve"> syndrómom (MAS). </w:t>
      </w:r>
    </w:p>
    <w:p w14:paraId="57588682" w14:textId="77777777" w:rsidR="008A431F" w:rsidRDefault="0011484C">
      <w:pPr>
        <w:rPr>
          <w:sz w:val="22"/>
          <w:szCs w:val="22"/>
        </w:rPr>
      </w:pPr>
      <w:r w:rsidRPr="00D929C5">
        <w:rPr>
          <w:sz w:val="22"/>
          <w:szCs w:val="22"/>
        </w:rPr>
        <w:t xml:space="preserve">Primárnym cieľom bolo zhodnotiť bezpečnosť a účinnosť </w:t>
      </w:r>
      <w:proofErr w:type="spellStart"/>
      <w:r w:rsidRPr="00D929C5">
        <w:rPr>
          <w:sz w:val="22"/>
          <w:szCs w:val="22"/>
        </w:rPr>
        <w:t>anastrozolu</w:t>
      </w:r>
      <w:proofErr w:type="spellEnd"/>
      <w:r w:rsidRPr="00D929C5">
        <w:rPr>
          <w:sz w:val="22"/>
          <w:szCs w:val="22"/>
        </w:rPr>
        <w:t xml:space="preserve"> 1 mg/deň u </w:t>
      </w:r>
      <w:proofErr w:type="spellStart"/>
      <w:r w:rsidRPr="00D929C5">
        <w:rPr>
          <w:sz w:val="22"/>
          <w:szCs w:val="22"/>
        </w:rPr>
        <w:t>pacientok</w:t>
      </w:r>
      <w:proofErr w:type="spellEnd"/>
      <w:r w:rsidRPr="00D929C5">
        <w:rPr>
          <w:sz w:val="22"/>
          <w:szCs w:val="22"/>
        </w:rPr>
        <w:t xml:space="preserve"> s MAS. Účinnosť liečby v rámci štúdie bola založená na podiele </w:t>
      </w:r>
      <w:proofErr w:type="spellStart"/>
      <w:r w:rsidRPr="00D929C5">
        <w:rPr>
          <w:sz w:val="22"/>
          <w:szCs w:val="22"/>
        </w:rPr>
        <w:t>pacientok</w:t>
      </w:r>
      <w:proofErr w:type="spellEnd"/>
      <w:r w:rsidRPr="00D929C5">
        <w:rPr>
          <w:sz w:val="22"/>
          <w:szCs w:val="22"/>
        </w:rPr>
        <w:t xml:space="preserve"> spĺňajúcich vymedzené kritériá týkajúce sa krvácania z pošvy, veku kostí a rýchlosti rastu. </w:t>
      </w:r>
    </w:p>
    <w:p w14:paraId="7A2CFF77" w14:textId="77777777" w:rsidR="008A431F" w:rsidRDefault="008A431F">
      <w:pPr>
        <w:rPr>
          <w:sz w:val="22"/>
          <w:szCs w:val="22"/>
        </w:rPr>
      </w:pPr>
    </w:p>
    <w:p w14:paraId="2B517B0F" w14:textId="77777777" w:rsidR="0011484C" w:rsidRDefault="0011484C">
      <w:pPr>
        <w:rPr>
          <w:sz w:val="22"/>
          <w:szCs w:val="22"/>
        </w:rPr>
      </w:pPr>
      <w:r w:rsidRPr="00D929C5">
        <w:rPr>
          <w:sz w:val="22"/>
          <w:szCs w:val="22"/>
        </w:rPr>
        <w:t>Počas liečby sa nepozorovali štatisticky významné zmeny vo frekvencii dní vaginálneho krvácania. Nepozorovali sa žiadne klinicky významné zmeny v </w:t>
      </w:r>
      <w:proofErr w:type="spellStart"/>
      <w:r w:rsidRPr="00D929C5">
        <w:rPr>
          <w:sz w:val="22"/>
          <w:szCs w:val="22"/>
        </w:rPr>
        <w:t>Tannerovej</w:t>
      </w:r>
      <w:proofErr w:type="spellEnd"/>
      <w:r w:rsidRPr="00D929C5">
        <w:rPr>
          <w:sz w:val="22"/>
          <w:szCs w:val="22"/>
        </w:rPr>
        <w:t xml:space="preserve"> stupnici, priemernom objeme </w:t>
      </w:r>
      <w:proofErr w:type="spellStart"/>
      <w:r w:rsidRPr="00D929C5">
        <w:rPr>
          <w:sz w:val="22"/>
          <w:szCs w:val="22"/>
        </w:rPr>
        <w:t>ovárií</w:t>
      </w:r>
      <w:proofErr w:type="spellEnd"/>
      <w:r w:rsidRPr="00D929C5">
        <w:rPr>
          <w:sz w:val="22"/>
          <w:szCs w:val="22"/>
        </w:rPr>
        <w:t xml:space="preserve"> alebo priemernom objeme </w:t>
      </w:r>
      <w:proofErr w:type="spellStart"/>
      <w:r w:rsidRPr="00D929C5">
        <w:rPr>
          <w:sz w:val="22"/>
          <w:szCs w:val="22"/>
        </w:rPr>
        <w:t>uteru</w:t>
      </w:r>
      <w:proofErr w:type="spellEnd"/>
      <w:r w:rsidRPr="00D929C5">
        <w:rPr>
          <w:sz w:val="22"/>
          <w:szCs w:val="22"/>
        </w:rPr>
        <w:t xml:space="preserve">. V porovnaní s východiskovým stavom sa nepozorovali žiadne štatisticky významné zmeny v stupni zvýšenia veku kostí počas liečby. Rýchlosť rastu (v cm/rok) sa v porovnaní s východiskovým stavom významne znížila (p &lt; 0,05) počas celého obdobia liečby (0. – 12. mesiac), ako aj počas druhej polovice liečby (7. – 12. mesiac). </w:t>
      </w:r>
    </w:p>
    <w:p w14:paraId="6FEAA79E" w14:textId="77777777" w:rsidR="0011484C" w:rsidRDefault="0011484C">
      <w:pPr>
        <w:rPr>
          <w:sz w:val="22"/>
          <w:szCs w:val="22"/>
        </w:rPr>
      </w:pPr>
    </w:p>
    <w:p w14:paraId="182D48F2" w14:textId="77777777" w:rsidR="00FC67C3" w:rsidRDefault="00FC67C3">
      <w:pPr>
        <w:rPr>
          <w:b/>
          <w:sz w:val="22"/>
          <w:szCs w:val="22"/>
        </w:rPr>
      </w:pPr>
      <w:r>
        <w:rPr>
          <w:b/>
          <w:sz w:val="22"/>
          <w:szCs w:val="22"/>
        </w:rPr>
        <w:t>5.2</w:t>
      </w:r>
      <w:r>
        <w:rPr>
          <w:b/>
          <w:sz w:val="22"/>
          <w:szCs w:val="22"/>
        </w:rPr>
        <w:tab/>
      </w:r>
      <w:proofErr w:type="spellStart"/>
      <w:r>
        <w:rPr>
          <w:b/>
          <w:sz w:val="22"/>
          <w:szCs w:val="22"/>
        </w:rPr>
        <w:t>Farmakokinetické</w:t>
      </w:r>
      <w:proofErr w:type="spellEnd"/>
      <w:r>
        <w:rPr>
          <w:b/>
          <w:sz w:val="22"/>
          <w:szCs w:val="22"/>
        </w:rPr>
        <w:t xml:space="preserve"> vlastnosti</w:t>
      </w:r>
    </w:p>
    <w:p w14:paraId="1C5418CC" w14:textId="77777777" w:rsidR="00FC67C3" w:rsidRDefault="00FC67C3">
      <w:pPr>
        <w:rPr>
          <w:b/>
          <w:sz w:val="22"/>
          <w:szCs w:val="22"/>
        </w:rPr>
      </w:pPr>
    </w:p>
    <w:p w14:paraId="61481C61" w14:textId="77777777" w:rsidR="00FC67C3" w:rsidRDefault="00FC67C3">
      <w:pPr>
        <w:rPr>
          <w:sz w:val="22"/>
          <w:szCs w:val="22"/>
          <w:u w:val="single"/>
        </w:rPr>
      </w:pPr>
      <w:r>
        <w:rPr>
          <w:sz w:val="22"/>
          <w:szCs w:val="22"/>
          <w:u w:val="single"/>
        </w:rPr>
        <w:t>Absorpcia</w:t>
      </w:r>
    </w:p>
    <w:p w14:paraId="2675A003" w14:textId="77777777" w:rsidR="00BE42EF" w:rsidRDefault="00BE42EF" w:rsidP="00BE42EF">
      <w:pPr>
        <w:rPr>
          <w:sz w:val="22"/>
          <w:szCs w:val="22"/>
        </w:rPr>
      </w:pPr>
      <w:proofErr w:type="spellStart"/>
      <w:r w:rsidRPr="00D929C5">
        <w:rPr>
          <w:sz w:val="22"/>
          <w:szCs w:val="22"/>
        </w:rPr>
        <w:t>Anastrozol</w:t>
      </w:r>
      <w:proofErr w:type="spellEnd"/>
      <w:r w:rsidRPr="00D929C5">
        <w:rPr>
          <w:sz w:val="22"/>
          <w:szCs w:val="22"/>
        </w:rPr>
        <w:t xml:space="preserve"> sa absorbuje rýchlo a maximálne plazmatické koncentrácie sa zvyčajne dosiahnu v priebehu 2 hodín po podaní dávky (pri podaní lieku nalačno). </w:t>
      </w:r>
    </w:p>
    <w:p w14:paraId="098866B7" w14:textId="77777777" w:rsidR="00BE42EF" w:rsidRPr="00D929C5" w:rsidRDefault="00BE42EF" w:rsidP="00BE42EF">
      <w:pPr>
        <w:rPr>
          <w:bCs/>
          <w:iCs/>
          <w:sz w:val="22"/>
          <w:szCs w:val="22"/>
        </w:rPr>
      </w:pPr>
      <w:r w:rsidRPr="00D929C5">
        <w:rPr>
          <w:sz w:val="22"/>
          <w:szCs w:val="22"/>
        </w:rPr>
        <w:t xml:space="preserve">Jedlo </w:t>
      </w:r>
      <w:r>
        <w:rPr>
          <w:sz w:val="22"/>
          <w:szCs w:val="22"/>
        </w:rPr>
        <w:t>mier</w:t>
      </w:r>
      <w:r w:rsidR="00A34728">
        <w:rPr>
          <w:sz w:val="22"/>
          <w:szCs w:val="22"/>
        </w:rPr>
        <w:t>n</w:t>
      </w:r>
      <w:r>
        <w:rPr>
          <w:sz w:val="22"/>
          <w:szCs w:val="22"/>
        </w:rPr>
        <w:t>e</w:t>
      </w:r>
      <w:r w:rsidRPr="00D929C5">
        <w:rPr>
          <w:sz w:val="22"/>
          <w:szCs w:val="22"/>
        </w:rPr>
        <w:t xml:space="preserve"> znižuje rýchlosť absorpcie, ale nie jej rozsah. Neočakáva sa, že by táto malá zmena rýchlosti absorpcie mala počas podávania </w:t>
      </w:r>
      <w:proofErr w:type="spellStart"/>
      <w:r>
        <w:rPr>
          <w:sz w:val="22"/>
          <w:szCs w:val="22"/>
        </w:rPr>
        <w:t>anastrozolu</w:t>
      </w:r>
      <w:proofErr w:type="spellEnd"/>
      <w:r>
        <w:rPr>
          <w:sz w:val="22"/>
          <w:szCs w:val="22"/>
        </w:rPr>
        <w:t xml:space="preserve"> tabliet</w:t>
      </w:r>
      <w:r w:rsidRPr="00D929C5">
        <w:rPr>
          <w:sz w:val="22"/>
          <w:szCs w:val="22"/>
        </w:rPr>
        <w:t xml:space="preserve"> 1</w:t>
      </w:r>
      <w:r>
        <w:rPr>
          <w:sz w:val="22"/>
          <w:szCs w:val="22"/>
        </w:rPr>
        <w:t>-krát</w:t>
      </w:r>
      <w:r w:rsidRPr="00D929C5">
        <w:rPr>
          <w:sz w:val="22"/>
          <w:szCs w:val="22"/>
        </w:rPr>
        <w:t xml:space="preserve"> denne klinicky významný účinok na rovnovážne plazmatické koncentrácie. Približne 90 až 95 % rovnovážnych plazmatických koncentrácií </w:t>
      </w:r>
      <w:proofErr w:type="spellStart"/>
      <w:r w:rsidRPr="00D929C5">
        <w:rPr>
          <w:sz w:val="22"/>
          <w:szCs w:val="22"/>
        </w:rPr>
        <w:t>anastrozolu</w:t>
      </w:r>
      <w:proofErr w:type="spellEnd"/>
      <w:r w:rsidRPr="00D929C5">
        <w:rPr>
          <w:sz w:val="22"/>
          <w:szCs w:val="22"/>
        </w:rPr>
        <w:t xml:space="preserve"> sa dosiahne po podaní 7 denných dávok a akumulácia je 3- až 4-násobná. Neexistuje dôkaz o závislosti </w:t>
      </w:r>
      <w:proofErr w:type="spellStart"/>
      <w:r w:rsidRPr="00D929C5">
        <w:rPr>
          <w:sz w:val="22"/>
          <w:szCs w:val="22"/>
        </w:rPr>
        <w:t>farmakokinetických</w:t>
      </w:r>
      <w:proofErr w:type="spellEnd"/>
      <w:r w:rsidRPr="00D929C5">
        <w:rPr>
          <w:sz w:val="22"/>
          <w:szCs w:val="22"/>
        </w:rPr>
        <w:t xml:space="preserve"> parametrov </w:t>
      </w:r>
      <w:proofErr w:type="spellStart"/>
      <w:r w:rsidRPr="00D929C5">
        <w:rPr>
          <w:sz w:val="22"/>
          <w:szCs w:val="22"/>
        </w:rPr>
        <w:t>anastrozolu</w:t>
      </w:r>
      <w:proofErr w:type="spellEnd"/>
      <w:r w:rsidRPr="00D929C5">
        <w:rPr>
          <w:sz w:val="22"/>
          <w:szCs w:val="22"/>
        </w:rPr>
        <w:t xml:space="preserve"> od času alebo dávky.</w:t>
      </w:r>
    </w:p>
    <w:p w14:paraId="50D922DE" w14:textId="77777777" w:rsidR="00BE42EF" w:rsidRPr="00D929C5" w:rsidRDefault="00BE42EF" w:rsidP="00BE42EF">
      <w:pPr>
        <w:rPr>
          <w:bCs/>
          <w:iCs/>
          <w:sz w:val="22"/>
          <w:szCs w:val="22"/>
        </w:rPr>
      </w:pPr>
    </w:p>
    <w:p w14:paraId="351B74D1" w14:textId="77777777" w:rsidR="00BE42EF" w:rsidRDefault="00BE42EF" w:rsidP="00BE42EF">
      <w:pPr>
        <w:rPr>
          <w:sz w:val="22"/>
          <w:szCs w:val="22"/>
        </w:rPr>
      </w:pPr>
      <w:proofErr w:type="spellStart"/>
      <w:r w:rsidRPr="00D929C5">
        <w:rPr>
          <w:sz w:val="22"/>
          <w:szCs w:val="22"/>
        </w:rPr>
        <w:t>Farmakokinetika</w:t>
      </w:r>
      <w:proofErr w:type="spellEnd"/>
      <w:r w:rsidRPr="00D929C5">
        <w:rPr>
          <w:sz w:val="22"/>
          <w:szCs w:val="22"/>
        </w:rPr>
        <w:t xml:space="preserve"> </w:t>
      </w:r>
      <w:proofErr w:type="spellStart"/>
      <w:r w:rsidRPr="00D929C5">
        <w:rPr>
          <w:sz w:val="22"/>
          <w:szCs w:val="22"/>
        </w:rPr>
        <w:t>anastrozolu</w:t>
      </w:r>
      <w:proofErr w:type="spellEnd"/>
      <w:r w:rsidRPr="00D929C5">
        <w:rPr>
          <w:sz w:val="22"/>
          <w:szCs w:val="22"/>
        </w:rPr>
        <w:t xml:space="preserve"> u žien po </w:t>
      </w:r>
      <w:proofErr w:type="spellStart"/>
      <w:r w:rsidRPr="00D929C5">
        <w:rPr>
          <w:sz w:val="22"/>
          <w:szCs w:val="22"/>
        </w:rPr>
        <w:t>menopauze</w:t>
      </w:r>
      <w:proofErr w:type="spellEnd"/>
      <w:r w:rsidRPr="00D929C5">
        <w:rPr>
          <w:sz w:val="22"/>
          <w:szCs w:val="22"/>
        </w:rPr>
        <w:t xml:space="preserve"> nezávisí od veku.</w:t>
      </w:r>
    </w:p>
    <w:p w14:paraId="795D4B6A" w14:textId="77777777" w:rsidR="00BE42EF" w:rsidRDefault="00BE42EF" w:rsidP="00BE42EF">
      <w:pPr>
        <w:rPr>
          <w:sz w:val="22"/>
          <w:szCs w:val="22"/>
        </w:rPr>
      </w:pPr>
    </w:p>
    <w:p w14:paraId="0B232B61" w14:textId="77777777" w:rsidR="00BE42EF" w:rsidRPr="00D929C5" w:rsidRDefault="00BE42EF" w:rsidP="00BE42EF">
      <w:pPr>
        <w:rPr>
          <w:sz w:val="22"/>
          <w:szCs w:val="22"/>
        </w:rPr>
      </w:pPr>
      <w:proofErr w:type="spellStart"/>
      <w:r>
        <w:rPr>
          <w:sz w:val="22"/>
          <w:szCs w:val="22"/>
        </w:rPr>
        <w:t>Farmakokinetika</w:t>
      </w:r>
      <w:proofErr w:type="spellEnd"/>
      <w:r>
        <w:rPr>
          <w:sz w:val="22"/>
          <w:szCs w:val="22"/>
        </w:rPr>
        <w:t xml:space="preserve"> nebola sledovaná u detí.</w:t>
      </w:r>
    </w:p>
    <w:p w14:paraId="5F43E41B" w14:textId="77777777" w:rsidR="00FC67C3" w:rsidRDefault="00FC67C3">
      <w:pPr>
        <w:rPr>
          <w:sz w:val="22"/>
          <w:szCs w:val="22"/>
        </w:rPr>
      </w:pPr>
    </w:p>
    <w:p w14:paraId="4A92BEAB" w14:textId="77777777" w:rsidR="00FC67C3" w:rsidRDefault="00FC67C3">
      <w:pPr>
        <w:rPr>
          <w:sz w:val="22"/>
          <w:szCs w:val="22"/>
          <w:u w:val="single"/>
        </w:rPr>
      </w:pPr>
      <w:r>
        <w:rPr>
          <w:sz w:val="22"/>
          <w:szCs w:val="22"/>
          <w:u w:val="single"/>
        </w:rPr>
        <w:t>Distribúcia</w:t>
      </w:r>
    </w:p>
    <w:p w14:paraId="7AA97E4F" w14:textId="77777777" w:rsidR="00FC67C3" w:rsidRDefault="00FC67C3">
      <w:pPr>
        <w:rPr>
          <w:sz w:val="22"/>
          <w:szCs w:val="22"/>
        </w:rPr>
      </w:pPr>
      <w:proofErr w:type="spellStart"/>
      <w:r>
        <w:rPr>
          <w:sz w:val="22"/>
          <w:szCs w:val="22"/>
        </w:rPr>
        <w:t>Anastrozol</w:t>
      </w:r>
      <w:proofErr w:type="spellEnd"/>
      <w:r>
        <w:rPr>
          <w:sz w:val="22"/>
          <w:szCs w:val="22"/>
        </w:rPr>
        <w:t xml:space="preserve"> sa viaže na plazmatické proteíny iba na 40</w:t>
      </w:r>
      <w:r w:rsidR="00BE42EF">
        <w:rPr>
          <w:sz w:val="22"/>
          <w:szCs w:val="22"/>
        </w:rPr>
        <w:t> </w:t>
      </w:r>
      <w:r>
        <w:rPr>
          <w:sz w:val="22"/>
          <w:szCs w:val="22"/>
        </w:rPr>
        <w:t>%.</w:t>
      </w:r>
    </w:p>
    <w:p w14:paraId="535F94E2" w14:textId="77777777" w:rsidR="00FC67C3" w:rsidRDefault="00FC67C3">
      <w:pPr>
        <w:rPr>
          <w:sz w:val="22"/>
          <w:szCs w:val="22"/>
        </w:rPr>
      </w:pPr>
    </w:p>
    <w:p w14:paraId="14DF896E" w14:textId="77777777" w:rsidR="00FC67C3" w:rsidRDefault="00FC67C3">
      <w:pPr>
        <w:rPr>
          <w:sz w:val="22"/>
          <w:szCs w:val="22"/>
          <w:u w:val="single"/>
        </w:rPr>
      </w:pPr>
      <w:proofErr w:type="spellStart"/>
      <w:r>
        <w:rPr>
          <w:sz w:val="22"/>
          <w:szCs w:val="22"/>
          <w:u w:val="single"/>
        </w:rPr>
        <w:t>Biotransformácia</w:t>
      </w:r>
      <w:proofErr w:type="spellEnd"/>
    </w:p>
    <w:p w14:paraId="5EA806F1" w14:textId="77777777" w:rsidR="00FC67C3" w:rsidRDefault="00FC67C3">
      <w:pPr>
        <w:autoSpaceDE w:val="0"/>
        <w:autoSpaceDN w:val="0"/>
        <w:adjustRightInd w:val="0"/>
        <w:rPr>
          <w:sz w:val="22"/>
          <w:szCs w:val="22"/>
        </w:rPr>
      </w:pPr>
      <w:proofErr w:type="spellStart"/>
      <w:r>
        <w:rPr>
          <w:sz w:val="22"/>
          <w:szCs w:val="22"/>
        </w:rPr>
        <w:t>Anastrozol</w:t>
      </w:r>
      <w:proofErr w:type="spellEnd"/>
      <w:r>
        <w:rPr>
          <w:sz w:val="22"/>
          <w:szCs w:val="22"/>
        </w:rPr>
        <w:t xml:space="preserve"> sa u </w:t>
      </w:r>
      <w:proofErr w:type="spellStart"/>
      <w:r>
        <w:rPr>
          <w:sz w:val="22"/>
          <w:szCs w:val="22"/>
        </w:rPr>
        <w:t>postmenopauzálnych</w:t>
      </w:r>
      <w:proofErr w:type="spellEnd"/>
      <w:r>
        <w:rPr>
          <w:sz w:val="22"/>
          <w:szCs w:val="22"/>
        </w:rPr>
        <w:t xml:space="preserve"> žien metabolizuje v rozsiahlej miere, pričom menej ako 10</w:t>
      </w:r>
      <w:r w:rsidR="00BE42EF">
        <w:rPr>
          <w:sz w:val="22"/>
          <w:szCs w:val="22"/>
        </w:rPr>
        <w:t> </w:t>
      </w:r>
      <w:r>
        <w:rPr>
          <w:sz w:val="22"/>
          <w:szCs w:val="22"/>
        </w:rPr>
        <w:t xml:space="preserve">% dávky sa vylúči močom v nezmenenej forme do 72 hodín po podaní dávky. </w:t>
      </w:r>
      <w:proofErr w:type="spellStart"/>
      <w:r>
        <w:rPr>
          <w:sz w:val="22"/>
          <w:szCs w:val="22"/>
        </w:rPr>
        <w:t>Anastrozol</w:t>
      </w:r>
      <w:proofErr w:type="spellEnd"/>
      <w:r>
        <w:rPr>
          <w:sz w:val="22"/>
          <w:szCs w:val="22"/>
        </w:rPr>
        <w:t xml:space="preserve"> sa metabolizuje N-</w:t>
      </w:r>
      <w:proofErr w:type="spellStart"/>
      <w:r>
        <w:rPr>
          <w:sz w:val="22"/>
          <w:szCs w:val="22"/>
        </w:rPr>
        <w:t>dealkyláciou</w:t>
      </w:r>
      <w:proofErr w:type="spellEnd"/>
      <w:r>
        <w:rPr>
          <w:sz w:val="22"/>
          <w:szCs w:val="22"/>
        </w:rPr>
        <w:t xml:space="preserve">, </w:t>
      </w:r>
      <w:proofErr w:type="spellStart"/>
      <w:r>
        <w:rPr>
          <w:sz w:val="22"/>
          <w:szCs w:val="22"/>
        </w:rPr>
        <w:t>hydroxyláciou</w:t>
      </w:r>
      <w:proofErr w:type="spellEnd"/>
      <w:r>
        <w:rPr>
          <w:sz w:val="22"/>
          <w:szCs w:val="22"/>
        </w:rPr>
        <w:t xml:space="preserve"> a </w:t>
      </w:r>
      <w:proofErr w:type="spellStart"/>
      <w:r>
        <w:rPr>
          <w:sz w:val="22"/>
          <w:szCs w:val="22"/>
        </w:rPr>
        <w:t>glukuronidáciou</w:t>
      </w:r>
      <w:proofErr w:type="spellEnd"/>
      <w:r>
        <w:rPr>
          <w:sz w:val="22"/>
          <w:szCs w:val="22"/>
        </w:rPr>
        <w:t xml:space="preserve">. </w:t>
      </w:r>
      <w:proofErr w:type="spellStart"/>
      <w:r>
        <w:rPr>
          <w:sz w:val="22"/>
          <w:szCs w:val="22"/>
        </w:rPr>
        <w:t>Metabolity</w:t>
      </w:r>
      <w:proofErr w:type="spellEnd"/>
      <w:r>
        <w:rPr>
          <w:sz w:val="22"/>
          <w:szCs w:val="22"/>
        </w:rPr>
        <w:t xml:space="preserve"> sa vylučujú prevažne močom. </w:t>
      </w:r>
      <w:proofErr w:type="spellStart"/>
      <w:r>
        <w:rPr>
          <w:sz w:val="22"/>
          <w:szCs w:val="22"/>
        </w:rPr>
        <w:t>Triazol</w:t>
      </w:r>
      <w:proofErr w:type="spellEnd"/>
      <w:r>
        <w:rPr>
          <w:sz w:val="22"/>
          <w:szCs w:val="22"/>
        </w:rPr>
        <w:t xml:space="preserve">, hlavný </w:t>
      </w:r>
      <w:proofErr w:type="spellStart"/>
      <w:r>
        <w:rPr>
          <w:sz w:val="22"/>
          <w:szCs w:val="22"/>
        </w:rPr>
        <w:t>metabolit</w:t>
      </w:r>
      <w:proofErr w:type="spellEnd"/>
      <w:r>
        <w:rPr>
          <w:sz w:val="22"/>
          <w:szCs w:val="22"/>
        </w:rPr>
        <w:t xml:space="preserve"> </w:t>
      </w:r>
      <w:proofErr w:type="spellStart"/>
      <w:r>
        <w:rPr>
          <w:sz w:val="22"/>
          <w:szCs w:val="22"/>
        </w:rPr>
        <w:t>anastrozolu</w:t>
      </w:r>
      <w:proofErr w:type="spellEnd"/>
      <w:r>
        <w:rPr>
          <w:sz w:val="22"/>
          <w:szCs w:val="22"/>
        </w:rPr>
        <w:t xml:space="preserve"> v plazme, </w:t>
      </w:r>
      <w:proofErr w:type="spellStart"/>
      <w:r>
        <w:rPr>
          <w:sz w:val="22"/>
          <w:szCs w:val="22"/>
        </w:rPr>
        <w:t>neinhibuje</w:t>
      </w:r>
      <w:proofErr w:type="spellEnd"/>
      <w:r>
        <w:rPr>
          <w:sz w:val="22"/>
          <w:szCs w:val="22"/>
        </w:rPr>
        <w:t xml:space="preserve"> enzým </w:t>
      </w:r>
      <w:proofErr w:type="spellStart"/>
      <w:r>
        <w:rPr>
          <w:sz w:val="22"/>
          <w:szCs w:val="22"/>
        </w:rPr>
        <w:t>aromatázu</w:t>
      </w:r>
      <w:proofErr w:type="spellEnd"/>
      <w:r>
        <w:rPr>
          <w:sz w:val="22"/>
          <w:szCs w:val="22"/>
        </w:rPr>
        <w:t>.</w:t>
      </w:r>
    </w:p>
    <w:p w14:paraId="6F1F3E6A" w14:textId="77777777" w:rsidR="00FC67C3" w:rsidRDefault="00FC67C3">
      <w:pPr>
        <w:autoSpaceDE w:val="0"/>
        <w:autoSpaceDN w:val="0"/>
        <w:adjustRightInd w:val="0"/>
        <w:rPr>
          <w:sz w:val="22"/>
          <w:szCs w:val="22"/>
        </w:rPr>
      </w:pPr>
    </w:p>
    <w:p w14:paraId="1CAA53CF" w14:textId="77777777" w:rsidR="00FC67C3" w:rsidRDefault="00FC67C3">
      <w:pPr>
        <w:autoSpaceDE w:val="0"/>
        <w:autoSpaceDN w:val="0"/>
        <w:adjustRightInd w:val="0"/>
        <w:rPr>
          <w:sz w:val="22"/>
          <w:szCs w:val="22"/>
          <w:u w:val="single"/>
        </w:rPr>
      </w:pPr>
      <w:r>
        <w:rPr>
          <w:sz w:val="22"/>
          <w:szCs w:val="22"/>
          <w:u w:val="single"/>
        </w:rPr>
        <w:t>Eliminácia</w:t>
      </w:r>
    </w:p>
    <w:p w14:paraId="4D5DE3DF" w14:textId="77777777" w:rsidR="00FC67C3" w:rsidRDefault="00FC67C3">
      <w:pPr>
        <w:autoSpaceDE w:val="0"/>
        <w:autoSpaceDN w:val="0"/>
        <w:adjustRightInd w:val="0"/>
        <w:rPr>
          <w:sz w:val="22"/>
          <w:szCs w:val="22"/>
        </w:rPr>
      </w:pPr>
      <w:proofErr w:type="spellStart"/>
      <w:r>
        <w:rPr>
          <w:sz w:val="22"/>
          <w:szCs w:val="22"/>
        </w:rPr>
        <w:t>Anastrozol</w:t>
      </w:r>
      <w:proofErr w:type="spellEnd"/>
      <w:r>
        <w:rPr>
          <w:sz w:val="22"/>
          <w:szCs w:val="22"/>
        </w:rPr>
        <w:t xml:space="preserve"> sa eliminuje pomaly a jeho plazmatický polčas eliminácie je 40 až 50 hodín.</w:t>
      </w:r>
    </w:p>
    <w:p w14:paraId="25FBBA47" w14:textId="77777777" w:rsidR="00FC67C3" w:rsidRDefault="00FC67C3">
      <w:pPr>
        <w:autoSpaceDE w:val="0"/>
        <w:autoSpaceDN w:val="0"/>
        <w:adjustRightInd w:val="0"/>
        <w:rPr>
          <w:sz w:val="22"/>
          <w:szCs w:val="22"/>
        </w:rPr>
      </w:pPr>
    </w:p>
    <w:p w14:paraId="45260E95" w14:textId="77777777" w:rsidR="00BE42EF" w:rsidRPr="00D929C5" w:rsidRDefault="00BE42EF" w:rsidP="00BE42EF">
      <w:pPr>
        <w:pStyle w:val="Zkladntext2"/>
        <w:jc w:val="left"/>
        <w:rPr>
          <w:rFonts w:ascii="Times New Roman" w:hAnsi="Times New Roman"/>
          <w:sz w:val="22"/>
          <w:szCs w:val="22"/>
          <w:u w:val="single"/>
        </w:rPr>
      </w:pPr>
      <w:r w:rsidRPr="00D929C5">
        <w:rPr>
          <w:rFonts w:ascii="Times New Roman" w:hAnsi="Times New Roman"/>
          <w:sz w:val="22"/>
          <w:szCs w:val="22"/>
          <w:u w:val="single"/>
        </w:rPr>
        <w:t>Poškodenie funkcie obličiek alebo pečene</w:t>
      </w:r>
    </w:p>
    <w:p w14:paraId="600A4D55" w14:textId="77777777" w:rsidR="00BE42EF" w:rsidRPr="00D929C5" w:rsidRDefault="00BE42EF" w:rsidP="00BE42EF">
      <w:pPr>
        <w:autoSpaceDE w:val="0"/>
        <w:autoSpaceDN w:val="0"/>
        <w:adjustRightInd w:val="0"/>
        <w:rPr>
          <w:sz w:val="22"/>
          <w:szCs w:val="22"/>
        </w:rPr>
      </w:pPr>
      <w:r w:rsidRPr="00D929C5">
        <w:rPr>
          <w:sz w:val="22"/>
          <w:szCs w:val="22"/>
        </w:rPr>
        <w:t xml:space="preserve">Zdanlivý </w:t>
      </w:r>
      <w:proofErr w:type="spellStart"/>
      <w:r w:rsidRPr="00D929C5">
        <w:rPr>
          <w:sz w:val="22"/>
          <w:szCs w:val="22"/>
        </w:rPr>
        <w:t>klírens</w:t>
      </w:r>
      <w:proofErr w:type="spellEnd"/>
      <w:r w:rsidRPr="00D929C5">
        <w:rPr>
          <w:sz w:val="22"/>
          <w:szCs w:val="22"/>
        </w:rPr>
        <w:t xml:space="preserve"> (CL/F) </w:t>
      </w:r>
      <w:proofErr w:type="spellStart"/>
      <w:r w:rsidRPr="00D929C5">
        <w:rPr>
          <w:sz w:val="22"/>
          <w:szCs w:val="22"/>
        </w:rPr>
        <w:t>anastrozolu</w:t>
      </w:r>
      <w:proofErr w:type="spellEnd"/>
      <w:r w:rsidRPr="00D929C5">
        <w:rPr>
          <w:sz w:val="22"/>
          <w:szCs w:val="22"/>
        </w:rPr>
        <w:t xml:space="preserve"> po perorálnom podaní bol u dobrovoľníkov so stabilnou cirhózou pečene približne o 30 % nižší než u zdravých jedincov (štúdia 1033IL/0014). Plazmatické koncentrácie </w:t>
      </w:r>
      <w:proofErr w:type="spellStart"/>
      <w:r w:rsidRPr="00D929C5">
        <w:rPr>
          <w:sz w:val="22"/>
          <w:szCs w:val="22"/>
        </w:rPr>
        <w:t>anastrozolu</w:t>
      </w:r>
      <w:proofErr w:type="spellEnd"/>
      <w:r w:rsidRPr="00D929C5">
        <w:rPr>
          <w:sz w:val="22"/>
          <w:szCs w:val="22"/>
        </w:rPr>
        <w:t xml:space="preserve"> u dobrovoľníkov s cirhózou pečene boli však v rozmedzí koncentrácií pozorovaných u normálnych jedincov v iných štúdiách. Plazmatické koncentrácie </w:t>
      </w:r>
      <w:proofErr w:type="spellStart"/>
      <w:r w:rsidRPr="00D929C5">
        <w:rPr>
          <w:sz w:val="22"/>
          <w:szCs w:val="22"/>
        </w:rPr>
        <w:t>anastrozolu</w:t>
      </w:r>
      <w:proofErr w:type="spellEnd"/>
      <w:r w:rsidRPr="00D929C5">
        <w:rPr>
          <w:sz w:val="22"/>
          <w:szCs w:val="22"/>
        </w:rPr>
        <w:t xml:space="preserve"> pozorované počas dlhodobých štúdií zameraných na účinnosť boli u pacientov s poškodením funkcie pečene v rozmedzí plazmatických koncentrácií </w:t>
      </w:r>
      <w:proofErr w:type="spellStart"/>
      <w:r w:rsidRPr="00D929C5">
        <w:rPr>
          <w:sz w:val="22"/>
          <w:szCs w:val="22"/>
        </w:rPr>
        <w:t>anastrozolu</w:t>
      </w:r>
      <w:proofErr w:type="spellEnd"/>
      <w:r w:rsidRPr="00D929C5">
        <w:rPr>
          <w:sz w:val="22"/>
          <w:szCs w:val="22"/>
        </w:rPr>
        <w:t xml:space="preserve"> pozorovaných u pacientov bez poškodenia funkcie pečene.</w:t>
      </w:r>
    </w:p>
    <w:p w14:paraId="0645A29B" w14:textId="77777777" w:rsidR="00BE42EF" w:rsidRPr="00D929C5" w:rsidRDefault="00BE42EF" w:rsidP="00BE42EF">
      <w:pPr>
        <w:autoSpaceDE w:val="0"/>
        <w:autoSpaceDN w:val="0"/>
        <w:adjustRightInd w:val="0"/>
        <w:rPr>
          <w:sz w:val="22"/>
          <w:szCs w:val="22"/>
        </w:rPr>
      </w:pPr>
    </w:p>
    <w:p w14:paraId="387BB6ED" w14:textId="77777777" w:rsidR="00BE42EF" w:rsidRPr="00D929C5" w:rsidRDefault="00BE42EF" w:rsidP="00BE42EF">
      <w:pPr>
        <w:autoSpaceDE w:val="0"/>
        <w:autoSpaceDN w:val="0"/>
        <w:adjustRightInd w:val="0"/>
        <w:rPr>
          <w:sz w:val="22"/>
          <w:szCs w:val="22"/>
        </w:rPr>
      </w:pPr>
      <w:r w:rsidRPr="00D929C5">
        <w:rPr>
          <w:sz w:val="22"/>
          <w:szCs w:val="22"/>
        </w:rPr>
        <w:t xml:space="preserve">Zdanlivý </w:t>
      </w:r>
      <w:proofErr w:type="spellStart"/>
      <w:r w:rsidRPr="00D929C5">
        <w:rPr>
          <w:sz w:val="22"/>
          <w:szCs w:val="22"/>
        </w:rPr>
        <w:t>klírens</w:t>
      </w:r>
      <w:proofErr w:type="spellEnd"/>
      <w:r w:rsidRPr="00D929C5">
        <w:rPr>
          <w:sz w:val="22"/>
          <w:szCs w:val="22"/>
        </w:rPr>
        <w:t xml:space="preserve"> (CL/F) </w:t>
      </w:r>
      <w:proofErr w:type="spellStart"/>
      <w:r w:rsidRPr="00D929C5">
        <w:rPr>
          <w:sz w:val="22"/>
          <w:szCs w:val="22"/>
        </w:rPr>
        <w:t>anastrozolu</w:t>
      </w:r>
      <w:proofErr w:type="spellEnd"/>
      <w:r w:rsidRPr="00D929C5">
        <w:rPr>
          <w:sz w:val="22"/>
          <w:szCs w:val="22"/>
        </w:rPr>
        <w:t xml:space="preserve"> po perorálnom podaní sa v štúdii 1033IL/0018 u dobrovoľníkov s ťažkou poruchou funkcie obličiek (GFR &lt; 30 ml/min) nezmenil, čo je v súlade so skutočnosťou, že </w:t>
      </w:r>
      <w:proofErr w:type="spellStart"/>
      <w:r w:rsidRPr="00D929C5">
        <w:rPr>
          <w:sz w:val="22"/>
          <w:szCs w:val="22"/>
        </w:rPr>
        <w:t>anastrozol</w:t>
      </w:r>
      <w:proofErr w:type="spellEnd"/>
      <w:r w:rsidRPr="00D929C5">
        <w:rPr>
          <w:sz w:val="22"/>
          <w:szCs w:val="22"/>
        </w:rPr>
        <w:t xml:space="preserve"> sa eliminuje predovšetkým metabolizmom. Plazmatické koncentrácie </w:t>
      </w:r>
      <w:proofErr w:type="spellStart"/>
      <w:r w:rsidRPr="00D929C5">
        <w:rPr>
          <w:sz w:val="22"/>
          <w:szCs w:val="22"/>
        </w:rPr>
        <w:t>anastrozolu</w:t>
      </w:r>
      <w:proofErr w:type="spellEnd"/>
      <w:r w:rsidRPr="00D929C5">
        <w:rPr>
          <w:sz w:val="22"/>
          <w:szCs w:val="22"/>
        </w:rPr>
        <w:t xml:space="preserve"> pozorované počas dlhodobých štúdií zameraných na účinnosť u pacientov s poškodením funkcie obličiek boli v rozmedzí plazmatických koncentrácií </w:t>
      </w:r>
      <w:proofErr w:type="spellStart"/>
      <w:r w:rsidRPr="00D929C5">
        <w:rPr>
          <w:sz w:val="22"/>
          <w:szCs w:val="22"/>
        </w:rPr>
        <w:t>anastrozolu</w:t>
      </w:r>
      <w:proofErr w:type="spellEnd"/>
      <w:r w:rsidRPr="00D929C5">
        <w:rPr>
          <w:sz w:val="22"/>
          <w:szCs w:val="22"/>
        </w:rPr>
        <w:t xml:space="preserve"> pozorovaných u pacientov bez poškodenia funkcie obličiek. U paciento</w:t>
      </w:r>
      <w:r>
        <w:rPr>
          <w:sz w:val="22"/>
          <w:szCs w:val="22"/>
        </w:rPr>
        <w:t>v</w:t>
      </w:r>
      <w:r w:rsidRPr="00D929C5">
        <w:rPr>
          <w:sz w:val="22"/>
          <w:szCs w:val="22"/>
        </w:rPr>
        <w:t xml:space="preserve"> s ťažkým poškodením funkcie obličiek sa má </w:t>
      </w:r>
      <w:proofErr w:type="spellStart"/>
      <w:r w:rsidR="0059676A">
        <w:rPr>
          <w:sz w:val="22"/>
          <w:szCs w:val="22"/>
        </w:rPr>
        <w:t>anastrozol</w:t>
      </w:r>
      <w:proofErr w:type="spellEnd"/>
      <w:r w:rsidRPr="00D929C5">
        <w:rPr>
          <w:sz w:val="22"/>
          <w:szCs w:val="22"/>
        </w:rPr>
        <w:t xml:space="preserve"> podávať opatrne (pozri čas</w:t>
      </w:r>
      <w:r>
        <w:rPr>
          <w:sz w:val="22"/>
          <w:szCs w:val="22"/>
        </w:rPr>
        <w:t>ti</w:t>
      </w:r>
      <w:r w:rsidRPr="00D929C5">
        <w:rPr>
          <w:sz w:val="22"/>
          <w:szCs w:val="22"/>
        </w:rPr>
        <w:t> 4.2 a 4.4).</w:t>
      </w:r>
    </w:p>
    <w:p w14:paraId="7D2578C9" w14:textId="77777777" w:rsidR="00BE42EF" w:rsidRPr="00D929C5" w:rsidRDefault="00BE42EF" w:rsidP="00BE42EF">
      <w:pPr>
        <w:pStyle w:val="Zkladntext2"/>
        <w:jc w:val="left"/>
        <w:rPr>
          <w:rFonts w:ascii="Times New Roman" w:hAnsi="Times New Roman"/>
          <w:sz w:val="22"/>
          <w:szCs w:val="22"/>
          <w:u w:val="single"/>
        </w:rPr>
      </w:pPr>
    </w:p>
    <w:p w14:paraId="2197BD4B" w14:textId="77777777" w:rsidR="00BE42EF" w:rsidRPr="00D929C5" w:rsidRDefault="00BE42EF" w:rsidP="00BE42EF">
      <w:pPr>
        <w:pStyle w:val="Zkladntext2"/>
        <w:jc w:val="left"/>
        <w:rPr>
          <w:rFonts w:ascii="Times New Roman" w:hAnsi="Times New Roman"/>
          <w:sz w:val="22"/>
          <w:szCs w:val="22"/>
          <w:u w:val="single"/>
        </w:rPr>
      </w:pPr>
      <w:r w:rsidRPr="00D929C5">
        <w:rPr>
          <w:rFonts w:ascii="Times New Roman" w:hAnsi="Times New Roman"/>
          <w:sz w:val="22"/>
          <w:szCs w:val="22"/>
          <w:u w:val="single"/>
        </w:rPr>
        <w:t>Deti a dospievajúci</w:t>
      </w:r>
    </w:p>
    <w:p w14:paraId="5545ACE7" w14:textId="77777777" w:rsidR="00BE42EF" w:rsidRPr="00D929C5" w:rsidRDefault="00BE42EF" w:rsidP="00BE42EF">
      <w:pPr>
        <w:pStyle w:val="Zkladntext2"/>
        <w:jc w:val="left"/>
        <w:rPr>
          <w:rFonts w:ascii="Times New Roman" w:hAnsi="Times New Roman"/>
          <w:sz w:val="22"/>
          <w:szCs w:val="22"/>
          <w:u w:val="single"/>
        </w:rPr>
      </w:pPr>
    </w:p>
    <w:p w14:paraId="6D06FEC5" w14:textId="77777777" w:rsidR="00BE42EF" w:rsidRDefault="00BE42EF" w:rsidP="002F32F0">
      <w:pPr>
        <w:rPr>
          <w:sz w:val="22"/>
          <w:szCs w:val="22"/>
        </w:rPr>
      </w:pPr>
      <w:r w:rsidRPr="00D929C5">
        <w:rPr>
          <w:sz w:val="22"/>
          <w:szCs w:val="22"/>
        </w:rPr>
        <w:t>U chlapcov s </w:t>
      </w:r>
      <w:proofErr w:type="spellStart"/>
      <w:r w:rsidRPr="00D929C5">
        <w:rPr>
          <w:sz w:val="22"/>
          <w:szCs w:val="22"/>
        </w:rPr>
        <w:t>gynekomastiou</w:t>
      </w:r>
      <w:proofErr w:type="spellEnd"/>
      <w:r w:rsidRPr="00D929C5">
        <w:rPr>
          <w:sz w:val="22"/>
          <w:szCs w:val="22"/>
        </w:rPr>
        <w:t xml:space="preserve"> v puberte (10 – 17 rokov) sa </w:t>
      </w:r>
      <w:proofErr w:type="spellStart"/>
      <w:r w:rsidRPr="00D929C5">
        <w:rPr>
          <w:sz w:val="22"/>
          <w:szCs w:val="22"/>
        </w:rPr>
        <w:t>anastrozol</w:t>
      </w:r>
      <w:proofErr w:type="spellEnd"/>
      <w:r w:rsidRPr="00D929C5">
        <w:rPr>
          <w:sz w:val="22"/>
          <w:szCs w:val="22"/>
        </w:rPr>
        <w:t xml:space="preserve"> rýchlo vstrebával, vo veľkej miere distribuoval a pomaly eliminoval s polčasom približne 2 dni. </w:t>
      </w:r>
      <w:proofErr w:type="spellStart"/>
      <w:r w:rsidRPr="00D929C5">
        <w:rPr>
          <w:sz w:val="22"/>
          <w:szCs w:val="22"/>
        </w:rPr>
        <w:t>Klírens</w:t>
      </w:r>
      <w:proofErr w:type="spellEnd"/>
      <w:r w:rsidRPr="00D929C5">
        <w:rPr>
          <w:sz w:val="22"/>
          <w:szCs w:val="22"/>
        </w:rPr>
        <w:t xml:space="preserve"> </w:t>
      </w:r>
      <w:proofErr w:type="spellStart"/>
      <w:r w:rsidRPr="00D929C5">
        <w:rPr>
          <w:sz w:val="22"/>
          <w:szCs w:val="22"/>
        </w:rPr>
        <w:t>anastrozolu</w:t>
      </w:r>
      <w:proofErr w:type="spellEnd"/>
      <w:r w:rsidRPr="00D929C5">
        <w:rPr>
          <w:sz w:val="22"/>
          <w:szCs w:val="22"/>
        </w:rPr>
        <w:t xml:space="preserve"> bol u dievčat (3 – 10 rokov), v porovnaní so staršími chlapcami, nižší a expozícia bola vyššia. </w:t>
      </w:r>
      <w:proofErr w:type="spellStart"/>
      <w:r w:rsidRPr="00D929C5">
        <w:rPr>
          <w:sz w:val="22"/>
          <w:szCs w:val="22"/>
        </w:rPr>
        <w:t>Anastrozol</w:t>
      </w:r>
      <w:proofErr w:type="spellEnd"/>
      <w:r w:rsidRPr="00D929C5">
        <w:rPr>
          <w:sz w:val="22"/>
          <w:szCs w:val="22"/>
        </w:rPr>
        <w:t xml:space="preserve"> sa u dievčat vo veľkej miere distribuoval a pomaly eliminoval.</w:t>
      </w:r>
    </w:p>
    <w:p w14:paraId="4068B823" w14:textId="77777777" w:rsidR="00BE42EF" w:rsidRDefault="00BE42EF">
      <w:pPr>
        <w:autoSpaceDE w:val="0"/>
        <w:autoSpaceDN w:val="0"/>
        <w:adjustRightInd w:val="0"/>
        <w:rPr>
          <w:sz w:val="22"/>
          <w:szCs w:val="22"/>
        </w:rPr>
      </w:pPr>
    </w:p>
    <w:p w14:paraId="0C6CF833" w14:textId="77777777" w:rsidR="00FC67C3" w:rsidRDefault="00FC67C3">
      <w:pPr>
        <w:autoSpaceDE w:val="0"/>
        <w:autoSpaceDN w:val="0"/>
        <w:adjustRightInd w:val="0"/>
        <w:rPr>
          <w:b/>
          <w:bCs/>
          <w:iCs/>
          <w:sz w:val="22"/>
          <w:szCs w:val="22"/>
        </w:rPr>
      </w:pPr>
      <w:r>
        <w:rPr>
          <w:b/>
          <w:bCs/>
          <w:iCs/>
          <w:sz w:val="22"/>
          <w:szCs w:val="22"/>
        </w:rPr>
        <w:t>5.3</w:t>
      </w:r>
      <w:r>
        <w:rPr>
          <w:b/>
          <w:bCs/>
          <w:iCs/>
          <w:sz w:val="22"/>
          <w:szCs w:val="22"/>
        </w:rPr>
        <w:tab/>
        <w:t xml:space="preserve">Predklinické údaje o bezpečnosti </w:t>
      </w:r>
    </w:p>
    <w:p w14:paraId="4B7A7C11" w14:textId="77777777" w:rsidR="00FC67C3" w:rsidRDefault="00FC67C3">
      <w:pPr>
        <w:autoSpaceDE w:val="0"/>
        <w:autoSpaceDN w:val="0"/>
        <w:adjustRightInd w:val="0"/>
        <w:rPr>
          <w:b/>
          <w:sz w:val="22"/>
          <w:szCs w:val="22"/>
        </w:rPr>
      </w:pPr>
    </w:p>
    <w:p w14:paraId="34F67337" w14:textId="77777777" w:rsidR="00BF20E8" w:rsidRPr="00D929C5" w:rsidRDefault="00BF20E8" w:rsidP="00BF20E8">
      <w:pPr>
        <w:autoSpaceDE w:val="0"/>
        <w:autoSpaceDN w:val="0"/>
        <w:adjustRightInd w:val="0"/>
        <w:rPr>
          <w:sz w:val="22"/>
          <w:szCs w:val="22"/>
        </w:rPr>
      </w:pPr>
      <w:r w:rsidRPr="00D929C5">
        <w:rPr>
          <w:sz w:val="22"/>
          <w:szCs w:val="22"/>
        </w:rPr>
        <w:t xml:space="preserve">Predklinické údaje získané na základe obvyklých farmakologických štúdií bezpečnosti, toxicity po opakovanom podávaní, </w:t>
      </w:r>
      <w:proofErr w:type="spellStart"/>
      <w:r w:rsidRPr="00D929C5">
        <w:rPr>
          <w:sz w:val="22"/>
          <w:szCs w:val="22"/>
        </w:rPr>
        <w:t>genotoxicity</w:t>
      </w:r>
      <w:proofErr w:type="spellEnd"/>
      <w:r w:rsidRPr="00D929C5">
        <w:rPr>
          <w:sz w:val="22"/>
          <w:szCs w:val="22"/>
        </w:rPr>
        <w:t>, karcinogénneho potenciálu a reprodukčnej toxicity neodhalili žiadne osobitné riziko pre ľudí.</w:t>
      </w:r>
    </w:p>
    <w:p w14:paraId="6DAED30E" w14:textId="77777777" w:rsidR="00BF20E8" w:rsidRPr="00D929C5" w:rsidRDefault="00BF20E8" w:rsidP="00BF20E8">
      <w:pPr>
        <w:rPr>
          <w:sz w:val="22"/>
          <w:szCs w:val="22"/>
        </w:rPr>
      </w:pPr>
    </w:p>
    <w:p w14:paraId="66E3A443" w14:textId="77777777" w:rsidR="00BF20E8" w:rsidRPr="00D929C5" w:rsidRDefault="00BF20E8" w:rsidP="00BF20E8">
      <w:pPr>
        <w:pStyle w:val="Nadpis3"/>
        <w:jc w:val="left"/>
        <w:rPr>
          <w:rFonts w:ascii="Times New Roman" w:hAnsi="Times New Roman"/>
          <w:i w:val="0"/>
          <w:iCs w:val="0"/>
          <w:sz w:val="22"/>
          <w:szCs w:val="22"/>
        </w:rPr>
      </w:pPr>
      <w:r w:rsidRPr="00D929C5">
        <w:rPr>
          <w:rFonts w:ascii="Times New Roman" w:hAnsi="Times New Roman"/>
          <w:i w:val="0"/>
          <w:iCs w:val="0"/>
          <w:sz w:val="22"/>
          <w:szCs w:val="22"/>
        </w:rPr>
        <w:t>Akútna toxicita</w:t>
      </w:r>
    </w:p>
    <w:p w14:paraId="462198FF" w14:textId="77777777" w:rsidR="00BF20E8" w:rsidRPr="00D929C5" w:rsidRDefault="00BF20E8" w:rsidP="00BF20E8">
      <w:pPr>
        <w:autoSpaceDE w:val="0"/>
        <w:autoSpaceDN w:val="0"/>
        <w:adjustRightInd w:val="0"/>
        <w:rPr>
          <w:sz w:val="22"/>
          <w:szCs w:val="22"/>
        </w:rPr>
      </w:pPr>
      <w:r w:rsidRPr="00D929C5">
        <w:rPr>
          <w:sz w:val="22"/>
          <w:szCs w:val="22"/>
        </w:rPr>
        <w:t xml:space="preserve">V štúdiách na zvieratách sa toxicita pozorovala iba pri vysokých dávkach. V štúdiách akútnej toxicity vykonaných na hlodavcoch bola stredná letálna dávka </w:t>
      </w:r>
      <w:proofErr w:type="spellStart"/>
      <w:r w:rsidRPr="00D929C5">
        <w:rPr>
          <w:sz w:val="22"/>
          <w:szCs w:val="22"/>
        </w:rPr>
        <w:t>anastrozolu</w:t>
      </w:r>
      <w:proofErr w:type="spellEnd"/>
      <w:r w:rsidRPr="00D929C5">
        <w:rPr>
          <w:sz w:val="22"/>
          <w:szCs w:val="22"/>
        </w:rPr>
        <w:t xml:space="preserve"> pri perorálnom podaní väčšia ako 100 mg/kg/deň a pri </w:t>
      </w:r>
      <w:proofErr w:type="spellStart"/>
      <w:r w:rsidRPr="00D929C5">
        <w:rPr>
          <w:sz w:val="22"/>
          <w:szCs w:val="22"/>
        </w:rPr>
        <w:t>intraperitoneálnom</w:t>
      </w:r>
      <w:proofErr w:type="spellEnd"/>
      <w:r w:rsidRPr="00D929C5">
        <w:rPr>
          <w:sz w:val="22"/>
          <w:szCs w:val="22"/>
        </w:rPr>
        <w:t xml:space="preserve"> podaní väčšia ako 50 mg/kg/deň. V štúdii akútnej toxicity po perorálnom podaní psom bola stredná letálna dávka väčšia ako 45 mg/kg/deň.</w:t>
      </w:r>
    </w:p>
    <w:p w14:paraId="11F755BE" w14:textId="77777777" w:rsidR="00BF20E8" w:rsidRPr="00D929C5" w:rsidRDefault="00BF20E8" w:rsidP="00BF20E8">
      <w:pPr>
        <w:pStyle w:val="Nadpis3"/>
        <w:jc w:val="left"/>
        <w:rPr>
          <w:rFonts w:ascii="Times New Roman" w:hAnsi="Times New Roman"/>
          <w:sz w:val="22"/>
          <w:szCs w:val="22"/>
        </w:rPr>
      </w:pPr>
    </w:p>
    <w:p w14:paraId="58A10B1A" w14:textId="77777777" w:rsidR="00BF20E8" w:rsidRPr="00D929C5" w:rsidRDefault="00BF20E8" w:rsidP="00BF20E8">
      <w:pPr>
        <w:pStyle w:val="Nadpis3"/>
        <w:jc w:val="left"/>
        <w:rPr>
          <w:rFonts w:ascii="Times New Roman" w:hAnsi="Times New Roman"/>
          <w:i w:val="0"/>
          <w:iCs w:val="0"/>
          <w:sz w:val="22"/>
          <w:szCs w:val="22"/>
        </w:rPr>
      </w:pPr>
      <w:r w:rsidRPr="00D929C5">
        <w:rPr>
          <w:rFonts w:ascii="Times New Roman" w:hAnsi="Times New Roman"/>
          <w:i w:val="0"/>
          <w:iCs w:val="0"/>
          <w:sz w:val="22"/>
          <w:szCs w:val="22"/>
        </w:rPr>
        <w:t>Chronická toxicita</w:t>
      </w:r>
    </w:p>
    <w:p w14:paraId="3533BD50" w14:textId="77777777" w:rsidR="00BF20E8" w:rsidRPr="00D929C5" w:rsidRDefault="00BF20E8" w:rsidP="00BF20E8">
      <w:pPr>
        <w:autoSpaceDE w:val="0"/>
        <w:autoSpaceDN w:val="0"/>
        <w:adjustRightInd w:val="0"/>
        <w:rPr>
          <w:sz w:val="22"/>
          <w:szCs w:val="22"/>
        </w:rPr>
      </w:pPr>
      <w:r w:rsidRPr="00D929C5">
        <w:rPr>
          <w:sz w:val="22"/>
          <w:szCs w:val="22"/>
        </w:rPr>
        <w:t xml:space="preserve">V štúdiách na zvieratách sa nežiaduce účinky pozorovali iba pri vysokých dávkach. Štúdie toxicity po opakovanom podávaní sa vykonali na potkanoch a psoch. V štúdiách toxicity sa hladiny </w:t>
      </w:r>
      <w:proofErr w:type="spellStart"/>
      <w:r w:rsidRPr="00D929C5">
        <w:rPr>
          <w:sz w:val="22"/>
          <w:szCs w:val="22"/>
        </w:rPr>
        <w:t>anastrozolu</w:t>
      </w:r>
      <w:proofErr w:type="spellEnd"/>
      <w:r w:rsidRPr="00D929C5">
        <w:rPr>
          <w:sz w:val="22"/>
          <w:szCs w:val="22"/>
        </w:rPr>
        <w:t xml:space="preserve"> bez účinku nestanovili, ale tie účinky, ktoré sa pozorovali pri nízkych (1 mg/kg/deň) a stredných dávkach (psy 3 mg/kg/deň, potkany 5 mg/kg/deň), súviseli buď s farmakologickými vlastnosťami  </w:t>
      </w:r>
      <w:proofErr w:type="spellStart"/>
      <w:r w:rsidRPr="00D929C5">
        <w:rPr>
          <w:sz w:val="22"/>
          <w:szCs w:val="22"/>
        </w:rPr>
        <w:t>anastrozolu</w:t>
      </w:r>
      <w:proofErr w:type="spellEnd"/>
      <w:r w:rsidRPr="00D929C5">
        <w:rPr>
          <w:sz w:val="22"/>
          <w:szCs w:val="22"/>
        </w:rPr>
        <w:t xml:space="preserve"> alebo s jeho schopnosťou indukovať enzýmy, a nesprevádzali ich významné toxikologické alebo degeneratívne zmeny.</w:t>
      </w:r>
    </w:p>
    <w:p w14:paraId="1CF269E0" w14:textId="77777777" w:rsidR="00BF20E8" w:rsidRPr="00D929C5" w:rsidRDefault="00BF20E8" w:rsidP="00BF20E8">
      <w:pPr>
        <w:pStyle w:val="Hlavika"/>
        <w:rPr>
          <w:i/>
          <w:iCs/>
          <w:sz w:val="22"/>
          <w:szCs w:val="22"/>
          <w:u w:val="single"/>
        </w:rPr>
      </w:pPr>
    </w:p>
    <w:p w14:paraId="1AD4789D" w14:textId="77777777" w:rsidR="00BF20E8" w:rsidRPr="00D929C5" w:rsidRDefault="00BF20E8" w:rsidP="00BF20E8">
      <w:pPr>
        <w:pStyle w:val="Hlavika"/>
        <w:outlineLvl w:val="0"/>
        <w:rPr>
          <w:sz w:val="22"/>
          <w:szCs w:val="22"/>
          <w:u w:val="single"/>
        </w:rPr>
      </w:pPr>
      <w:proofErr w:type="spellStart"/>
      <w:r w:rsidRPr="00D929C5">
        <w:rPr>
          <w:sz w:val="22"/>
          <w:szCs w:val="22"/>
          <w:u w:val="single"/>
        </w:rPr>
        <w:t>Mutagenita</w:t>
      </w:r>
      <w:proofErr w:type="spellEnd"/>
    </w:p>
    <w:p w14:paraId="6423E863" w14:textId="77777777" w:rsidR="00BF20E8" w:rsidRPr="00D929C5" w:rsidRDefault="00BF20E8" w:rsidP="00BF20E8">
      <w:pPr>
        <w:pStyle w:val="Hlavika"/>
        <w:outlineLvl w:val="0"/>
        <w:rPr>
          <w:sz w:val="22"/>
          <w:szCs w:val="22"/>
        </w:rPr>
      </w:pPr>
      <w:r w:rsidRPr="00D929C5">
        <w:rPr>
          <w:sz w:val="22"/>
          <w:szCs w:val="22"/>
        </w:rPr>
        <w:t xml:space="preserve">Genetické toxikologické skúšky preukázali, že </w:t>
      </w:r>
      <w:proofErr w:type="spellStart"/>
      <w:r w:rsidRPr="00D929C5">
        <w:rPr>
          <w:sz w:val="22"/>
          <w:szCs w:val="22"/>
        </w:rPr>
        <w:t>anastrozol</w:t>
      </w:r>
      <w:proofErr w:type="spellEnd"/>
      <w:r w:rsidRPr="00D929C5">
        <w:rPr>
          <w:sz w:val="22"/>
          <w:szCs w:val="22"/>
        </w:rPr>
        <w:t xml:space="preserve"> nie je </w:t>
      </w:r>
      <w:proofErr w:type="spellStart"/>
      <w:r w:rsidRPr="00D929C5">
        <w:rPr>
          <w:sz w:val="22"/>
          <w:szCs w:val="22"/>
        </w:rPr>
        <w:t>mutagén</w:t>
      </w:r>
      <w:proofErr w:type="spellEnd"/>
      <w:r w:rsidRPr="00D929C5">
        <w:rPr>
          <w:sz w:val="22"/>
          <w:szCs w:val="22"/>
        </w:rPr>
        <w:t xml:space="preserve"> ani </w:t>
      </w:r>
      <w:proofErr w:type="spellStart"/>
      <w:r w:rsidRPr="00D929C5">
        <w:rPr>
          <w:sz w:val="22"/>
          <w:szCs w:val="22"/>
        </w:rPr>
        <w:t>klastogén</w:t>
      </w:r>
      <w:proofErr w:type="spellEnd"/>
      <w:r w:rsidRPr="00D929C5">
        <w:rPr>
          <w:sz w:val="22"/>
          <w:szCs w:val="22"/>
        </w:rPr>
        <w:t>.</w:t>
      </w:r>
    </w:p>
    <w:p w14:paraId="5097177F" w14:textId="77777777" w:rsidR="00BF20E8" w:rsidRPr="00D929C5" w:rsidRDefault="00BF20E8" w:rsidP="00BF20E8">
      <w:pPr>
        <w:pStyle w:val="Hlavika"/>
        <w:rPr>
          <w:i/>
          <w:iCs/>
          <w:sz w:val="22"/>
          <w:szCs w:val="22"/>
          <w:u w:val="single"/>
        </w:rPr>
      </w:pPr>
    </w:p>
    <w:p w14:paraId="4F6D54CD" w14:textId="77777777" w:rsidR="00BF20E8" w:rsidRPr="002F32F0" w:rsidRDefault="00BF20E8" w:rsidP="00BF20E8">
      <w:pPr>
        <w:rPr>
          <w:sz w:val="22"/>
          <w:szCs w:val="22"/>
          <w:u w:val="single"/>
        </w:rPr>
      </w:pPr>
      <w:r w:rsidRPr="00D929C5">
        <w:rPr>
          <w:sz w:val="22"/>
          <w:szCs w:val="22"/>
          <w:u w:val="single"/>
        </w:rPr>
        <w:t>Reprodukčná toxicita</w:t>
      </w:r>
    </w:p>
    <w:p w14:paraId="305B2B5E" w14:textId="77777777" w:rsidR="00BF20E8" w:rsidRPr="00D929C5" w:rsidRDefault="00BF20E8" w:rsidP="00BF20E8">
      <w:pPr>
        <w:rPr>
          <w:sz w:val="22"/>
          <w:szCs w:val="22"/>
        </w:rPr>
      </w:pPr>
      <w:r w:rsidRPr="00D929C5">
        <w:rPr>
          <w:sz w:val="22"/>
          <w:szCs w:val="22"/>
        </w:rPr>
        <w:t xml:space="preserve">V štúdiách </w:t>
      </w:r>
      <w:proofErr w:type="spellStart"/>
      <w:r w:rsidRPr="00D929C5">
        <w:rPr>
          <w:sz w:val="22"/>
          <w:szCs w:val="22"/>
        </w:rPr>
        <w:t>fertility</w:t>
      </w:r>
      <w:proofErr w:type="spellEnd"/>
      <w:r w:rsidRPr="00D929C5">
        <w:rPr>
          <w:sz w:val="22"/>
          <w:szCs w:val="22"/>
        </w:rPr>
        <w:t xml:space="preserve"> sa odstaveným samčím mláďatám potkana počas 10 týždňov podávala perorálna dávka 50 alebo 400 mg </w:t>
      </w:r>
      <w:proofErr w:type="spellStart"/>
      <w:r w:rsidRPr="00D929C5">
        <w:rPr>
          <w:sz w:val="22"/>
          <w:szCs w:val="22"/>
        </w:rPr>
        <w:t>anastrozolu</w:t>
      </w:r>
      <w:proofErr w:type="spellEnd"/>
      <w:r w:rsidRPr="00D929C5">
        <w:rPr>
          <w:sz w:val="22"/>
          <w:szCs w:val="22"/>
        </w:rPr>
        <w:t xml:space="preserve">/l pitnej vody. Zistené priemerné plazmatické koncentrácie boli 44,4 (± 14,7) </w:t>
      </w:r>
      <w:proofErr w:type="spellStart"/>
      <w:r w:rsidRPr="00D929C5">
        <w:rPr>
          <w:sz w:val="22"/>
          <w:szCs w:val="22"/>
        </w:rPr>
        <w:t>ng</w:t>
      </w:r>
      <w:proofErr w:type="spellEnd"/>
      <w:r w:rsidRPr="00D929C5">
        <w:rPr>
          <w:sz w:val="22"/>
          <w:szCs w:val="22"/>
        </w:rPr>
        <w:t>/ml a 165 (± 90) </w:t>
      </w:r>
      <w:proofErr w:type="spellStart"/>
      <w:r w:rsidRPr="00D929C5">
        <w:rPr>
          <w:sz w:val="22"/>
          <w:szCs w:val="22"/>
        </w:rPr>
        <w:t>ng</w:t>
      </w:r>
      <w:proofErr w:type="spellEnd"/>
      <w:r w:rsidRPr="00D929C5">
        <w:rPr>
          <w:sz w:val="22"/>
          <w:szCs w:val="22"/>
        </w:rPr>
        <w:t xml:space="preserve">/ml. Ukazovatele párenia boli v obidvoch skupinách nežiaduco ovplyvnené, kým zníženie </w:t>
      </w:r>
      <w:proofErr w:type="spellStart"/>
      <w:r w:rsidRPr="00D929C5">
        <w:rPr>
          <w:sz w:val="22"/>
          <w:szCs w:val="22"/>
        </w:rPr>
        <w:t>fertility</w:t>
      </w:r>
      <w:proofErr w:type="spellEnd"/>
      <w:r w:rsidRPr="00D929C5">
        <w:rPr>
          <w:sz w:val="22"/>
          <w:szCs w:val="22"/>
        </w:rPr>
        <w:t xml:space="preserve"> bolo zrejmé iba pri dávke 400 mg/l. Zníženie bolo dočasné, lebo po 9-týždňovom období bez liečby sa všetky parametre párenia a </w:t>
      </w:r>
      <w:proofErr w:type="spellStart"/>
      <w:r w:rsidRPr="00D929C5">
        <w:rPr>
          <w:sz w:val="22"/>
          <w:szCs w:val="22"/>
        </w:rPr>
        <w:t>fertility</w:t>
      </w:r>
      <w:proofErr w:type="spellEnd"/>
      <w:r w:rsidRPr="00D929C5">
        <w:rPr>
          <w:sz w:val="22"/>
          <w:szCs w:val="22"/>
        </w:rPr>
        <w:t xml:space="preserve"> podobali hodnotám v kontrolovanej skupine. </w:t>
      </w:r>
    </w:p>
    <w:p w14:paraId="349B8865" w14:textId="77777777" w:rsidR="00BF20E8" w:rsidRPr="00D929C5" w:rsidRDefault="00BF20E8" w:rsidP="00BF20E8">
      <w:pPr>
        <w:rPr>
          <w:sz w:val="22"/>
          <w:szCs w:val="22"/>
        </w:rPr>
      </w:pPr>
    </w:p>
    <w:p w14:paraId="4DCC5CF6" w14:textId="77777777" w:rsidR="00BF20E8" w:rsidRPr="00D929C5" w:rsidRDefault="00BF20E8" w:rsidP="00BF20E8">
      <w:pPr>
        <w:rPr>
          <w:sz w:val="22"/>
          <w:szCs w:val="22"/>
        </w:rPr>
      </w:pPr>
      <w:r w:rsidRPr="00D929C5">
        <w:rPr>
          <w:sz w:val="22"/>
          <w:szCs w:val="22"/>
        </w:rPr>
        <w:t xml:space="preserve">Perorálne podanie </w:t>
      </w:r>
      <w:proofErr w:type="spellStart"/>
      <w:r w:rsidRPr="00D929C5">
        <w:rPr>
          <w:sz w:val="22"/>
          <w:szCs w:val="22"/>
        </w:rPr>
        <w:t>anastrozolu</w:t>
      </w:r>
      <w:proofErr w:type="spellEnd"/>
      <w:r w:rsidRPr="00D929C5">
        <w:rPr>
          <w:sz w:val="22"/>
          <w:szCs w:val="22"/>
        </w:rPr>
        <w:t xml:space="preserve"> samiciam potkanov vyvolalo pri dávke 1 mg/kg/deň vysoký výskyt neplodnosti a pri dávke 0,02 mg/kg/deň nárast </w:t>
      </w:r>
      <w:proofErr w:type="spellStart"/>
      <w:r w:rsidRPr="00D929C5">
        <w:rPr>
          <w:sz w:val="22"/>
          <w:szCs w:val="22"/>
        </w:rPr>
        <w:t>predimplantačných</w:t>
      </w:r>
      <w:proofErr w:type="spellEnd"/>
      <w:r w:rsidRPr="00D929C5">
        <w:rPr>
          <w:sz w:val="22"/>
          <w:szCs w:val="22"/>
        </w:rPr>
        <w:t xml:space="preserve"> strát. Tieto účinky sa pozorovali pri klinicky relevantných dávkach. Účinok u človeka nemožno vylúčiť. Tieto účinky súviseli s farmakológiou zlúčeniny a po 5 týždňoch od vysadenia zlúčeniny úplne vymizli.</w:t>
      </w:r>
    </w:p>
    <w:p w14:paraId="34173424" w14:textId="77777777" w:rsidR="00BF20E8" w:rsidRPr="00D929C5" w:rsidRDefault="00BF20E8" w:rsidP="00BF20E8">
      <w:pPr>
        <w:rPr>
          <w:sz w:val="22"/>
          <w:szCs w:val="22"/>
        </w:rPr>
      </w:pPr>
    </w:p>
    <w:p w14:paraId="79381CB2" w14:textId="77777777" w:rsidR="00BF20E8" w:rsidRPr="00D929C5" w:rsidRDefault="00BF20E8" w:rsidP="00BF20E8">
      <w:pPr>
        <w:rPr>
          <w:sz w:val="22"/>
          <w:szCs w:val="22"/>
        </w:rPr>
      </w:pPr>
      <w:r w:rsidRPr="00D929C5">
        <w:rPr>
          <w:sz w:val="22"/>
          <w:szCs w:val="22"/>
        </w:rPr>
        <w:t xml:space="preserve">Perorálne podanie </w:t>
      </w:r>
      <w:proofErr w:type="spellStart"/>
      <w:r w:rsidRPr="00D929C5">
        <w:rPr>
          <w:sz w:val="22"/>
          <w:szCs w:val="22"/>
        </w:rPr>
        <w:t>anastrozolu</w:t>
      </w:r>
      <w:proofErr w:type="spellEnd"/>
      <w:r w:rsidRPr="00D929C5">
        <w:rPr>
          <w:sz w:val="22"/>
          <w:szCs w:val="22"/>
        </w:rPr>
        <w:t xml:space="preserve"> gravidným potkanom a králikom v dávkach do 1,0 a 0,2 mg/kg/deň nespôsobilo žiadne </w:t>
      </w:r>
      <w:proofErr w:type="spellStart"/>
      <w:r w:rsidRPr="00D929C5">
        <w:rPr>
          <w:sz w:val="22"/>
          <w:szCs w:val="22"/>
        </w:rPr>
        <w:t>teratogénne</w:t>
      </w:r>
      <w:proofErr w:type="spellEnd"/>
      <w:r w:rsidRPr="00D929C5">
        <w:rPr>
          <w:sz w:val="22"/>
          <w:szCs w:val="22"/>
        </w:rPr>
        <w:t xml:space="preserve"> účinky. Účinky, ktoré sa pozorovali (zväčšenie placenty u potkanov a potrat u králikov), súviseli s farmakológiou zlúčeniny.</w:t>
      </w:r>
    </w:p>
    <w:p w14:paraId="78B1CDC6" w14:textId="77777777" w:rsidR="00BF20E8" w:rsidRPr="00D929C5" w:rsidRDefault="00BF20E8" w:rsidP="00BF20E8">
      <w:pPr>
        <w:rPr>
          <w:sz w:val="22"/>
          <w:szCs w:val="22"/>
        </w:rPr>
      </w:pPr>
    </w:p>
    <w:p w14:paraId="58302189" w14:textId="77777777" w:rsidR="00BF20E8" w:rsidRPr="00D929C5" w:rsidRDefault="00BF20E8" w:rsidP="00BF20E8">
      <w:pPr>
        <w:rPr>
          <w:sz w:val="22"/>
          <w:szCs w:val="22"/>
        </w:rPr>
      </w:pPr>
      <w:r w:rsidRPr="00D929C5">
        <w:rPr>
          <w:sz w:val="22"/>
          <w:szCs w:val="22"/>
        </w:rPr>
        <w:lastRenderedPageBreak/>
        <w:t xml:space="preserve">Prežívanie mláďat potkanov, ktorým sa podával </w:t>
      </w:r>
      <w:proofErr w:type="spellStart"/>
      <w:r w:rsidRPr="00D929C5">
        <w:rPr>
          <w:sz w:val="22"/>
          <w:szCs w:val="22"/>
        </w:rPr>
        <w:t>anastrozol</w:t>
      </w:r>
      <w:proofErr w:type="spellEnd"/>
      <w:r w:rsidRPr="00D929C5">
        <w:rPr>
          <w:sz w:val="22"/>
          <w:szCs w:val="22"/>
        </w:rPr>
        <w:t xml:space="preserve"> v dávke 0,02 mg/kg/deň a viac (od 17. dňa gravidity do 22. dňa po pôrode), bolo oslabené. Tieto účinky súviseli s farmakologickými účinkami zlúčeniny na pôrod. Nezistili sa žiadne nežiaduce účinky na správanie sa alebo reprodukčné schopnosti prvej generácie potomstva, ktoré by súviseli s podávaním </w:t>
      </w:r>
      <w:proofErr w:type="spellStart"/>
      <w:r w:rsidRPr="00D929C5">
        <w:rPr>
          <w:sz w:val="22"/>
          <w:szCs w:val="22"/>
        </w:rPr>
        <w:t>anastrozolu</w:t>
      </w:r>
      <w:proofErr w:type="spellEnd"/>
      <w:r w:rsidRPr="00D929C5">
        <w:rPr>
          <w:sz w:val="22"/>
          <w:szCs w:val="22"/>
        </w:rPr>
        <w:t xml:space="preserve"> ich matkám počas gravidity.</w:t>
      </w:r>
    </w:p>
    <w:p w14:paraId="4983614E" w14:textId="77777777" w:rsidR="00BF20E8" w:rsidRPr="00D929C5" w:rsidRDefault="00BF20E8" w:rsidP="00BF20E8">
      <w:pPr>
        <w:rPr>
          <w:sz w:val="22"/>
          <w:szCs w:val="22"/>
          <w:u w:val="single"/>
        </w:rPr>
      </w:pPr>
    </w:p>
    <w:p w14:paraId="5038D3B0" w14:textId="77777777" w:rsidR="00BF20E8" w:rsidRPr="00D929C5" w:rsidRDefault="00BF20E8" w:rsidP="00BF20E8">
      <w:pPr>
        <w:rPr>
          <w:sz w:val="22"/>
          <w:szCs w:val="22"/>
          <w:u w:val="single"/>
        </w:rPr>
      </w:pPr>
      <w:r w:rsidRPr="00D929C5">
        <w:rPr>
          <w:sz w:val="22"/>
          <w:szCs w:val="22"/>
          <w:u w:val="single"/>
        </w:rPr>
        <w:t>Karcinogenita</w:t>
      </w:r>
    </w:p>
    <w:p w14:paraId="2F1DE56C" w14:textId="77777777" w:rsidR="00BF20E8" w:rsidRPr="00D929C5" w:rsidRDefault="00BF20E8" w:rsidP="00BF20E8">
      <w:pPr>
        <w:rPr>
          <w:sz w:val="22"/>
          <w:szCs w:val="22"/>
          <w:u w:val="single"/>
        </w:rPr>
      </w:pPr>
    </w:p>
    <w:p w14:paraId="28F73BF3" w14:textId="77777777" w:rsidR="00BF20E8" w:rsidRPr="00D929C5" w:rsidRDefault="00BF20E8" w:rsidP="00BF20E8">
      <w:pPr>
        <w:rPr>
          <w:sz w:val="22"/>
          <w:szCs w:val="22"/>
        </w:rPr>
      </w:pPr>
      <w:r w:rsidRPr="00D929C5">
        <w:rPr>
          <w:sz w:val="22"/>
          <w:szCs w:val="22"/>
        </w:rPr>
        <w:t xml:space="preserve">V dvojročnej štúdii </w:t>
      </w:r>
      <w:proofErr w:type="spellStart"/>
      <w:r w:rsidRPr="00D929C5">
        <w:rPr>
          <w:sz w:val="22"/>
          <w:szCs w:val="22"/>
        </w:rPr>
        <w:t>onkogenity</w:t>
      </w:r>
      <w:proofErr w:type="spellEnd"/>
      <w:r w:rsidRPr="00D929C5">
        <w:rPr>
          <w:sz w:val="22"/>
          <w:szCs w:val="22"/>
        </w:rPr>
        <w:t xml:space="preserve"> </w:t>
      </w:r>
      <w:proofErr w:type="spellStart"/>
      <w:r w:rsidRPr="00D929C5">
        <w:rPr>
          <w:sz w:val="22"/>
          <w:szCs w:val="22"/>
        </w:rPr>
        <w:t>anastrozolu</w:t>
      </w:r>
      <w:proofErr w:type="spellEnd"/>
      <w:r w:rsidRPr="00D929C5">
        <w:rPr>
          <w:sz w:val="22"/>
          <w:szCs w:val="22"/>
        </w:rPr>
        <w:t xml:space="preserve"> u potkanov sa zvýšenie výskytu novotvarov pečene, </w:t>
      </w:r>
      <w:proofErr w:type="spellStart"/>
      <w:r w:rsidRPr="00D929C5">
        <w:rPr>
          <w:sz w:val="22"/>
          <w:szCs w:val="22"/>
        </w:rPr>
        <w:t>strómových</w:t>
      </w:r>
      <w:proofErr w:type="spellEnd"/>
      <w:r w:rsidRPr="00D929C5">
        <w:rPr>
          <w:sz w:val="22"/>
          <w:szCs w:val="22"/>
        </w:rPr>
        <w:t xml:space="preserve"> polypov maternice u samíc a </w:t>
      </w:r>
      <w:proofErr w:type="spellStart"/>
      <w:r w:rsidRPr="00D929C5">
        <w:rPr>
          <w:sz w:val="22"/>
          <w:szCs w:val="22"/>
        </w:rPr>
        <w:t>adenómov</w:t>
      </w:r>
      <w:proofErr w:type="spellEnd"/>
      <w:r w:rsidRPr="00D929C5">
        <w:rPr>
          <w:sz w:val="22"/>
          <w:szCs w:val="22"/>
        </w:rPr>
        <w:t xml:space="preserve"> štítnej žľazy u samcov pozorovalo iba pri podávaní vysokých dávok (25 mg/kg/deň). Tieto zmeny sa vyskytli pri dávke, ktorá predstavuje 100</w:t>
      </w:r>
      <w:r w:rsidRPr="00D929C5">
        <w:rPr>
          <w:sz w:val="22"/>
          <w:szCs w:val="22"/>
        </w:rPr>
        <w:noBreakHyphen/>
        <w:t xml:space="preserve">krát vyššiu expozíciu v porovnaní s tou, k akej dochádza pri terapeutických dávkach u ľudí a pre pacientky liečené </w:t>
      </w:r>
      <w:proofErr w:type="spellStart"/>
      <w:r w:rsidRPr="00D929C5">
        <w:rPr>
          <w:sz w:val="22"/>
          <w:szCs w:val="22"/>
        </w:rPr>
        <w:t>anastrozolom</w:t>
      </w:r>
      <w:proofErr w:type="spellEnd"/>
      <w:r w:rsidRPr="00D929C5">
        <w:rPr>
          <w:sz w:val="22"/>
          <w:szCs w:val="22"/>
        </w:rPr>
        <w:t xml:space="preserve"> sa nepovažujú za klinicky významné.</w:t>
      </w:r>
    </w:p>
    <w:p w14:paraId="2FC39958" w14:textId="77777777" w:rsidR="00BF20E8" w:rsidRPr="00D929C5" w:rsidRDefault="00BF20E8" w:rsidP="00BF20E8">
      <w:pPr>
        <w:rPr>
          <w:sz w:val="22"/>
          <w:szCs w:val="22"/>
        </w:rPr>
      </w:pPr>
    </w:p>
    <w:p w14:paraId="7DDE840E" w14:textId="77777777" w:rsidR="00BF20E8" w:rsidRPr="00D929C5" w:rsidRDefault="00BF20E8" w:rsidP="00BF20E8">
      <w:pPr>
        <w:rPr>
          <w:sz w:val="22"/>
          <w:szCs w:val="22"/>
        </w:rPr>
      </w:pPr>
      <w:r w:rsidRPr="00D929C5">
        <w:rPr>
          <w:sz w:val="22"/>
          <w:szCs w:val="22"/>
        </w:rPr>
        <w:t xml:space="preserve">V dvojročnej štúdii </w:t>
      </w:r>
      <w:proofErr w:type="spellStart"/>
      <w:r w:rsidRPr="00D929C5">
        <w:rPr>
          <w:sz w:val="22"/>
          <w:szCs w:val="22"/>
        </w:rPr>
        <w:t>onkogenity</w:t>
      </w:r>
      <w:proofErr w:type="spellEnd"/>
      <w:r w:rsidRPr="00D929C5">
        <w:rPr>
          <w:sz w:val="22"/>
          <w:szCs w:val="22"/>
        </w:rPr>
        <w:t xml:space="preserve"> </w:t>
      </w:r>
      <w:proofErr w:type="spellStart"/>
      <w:r w:rsidRPr="00D929C5">
        <w:rPr>
          <w:sz w:val="22"/>
          <w:szCs w:val="22"/>
        </w:rPr>
        <w:t>anastrozolu</w:t>
      </w:r>
      <w:proofErr w:type="spellEnd"/>
      <w:r w:rsidRPr="00D929C5">
        <w:rPr>
          <w:sz w:val="22"/>
          <w:szCs w:val="22"/>
        </w:rPr>
        <w:t xml:space="preserve"> u myší sa pozorovala indukcia benígnych nádorov </w:t>
      </w:r>
      <w:proofErr w:type="spellStart"/>
      <w:r w:rsidRPr="00D929C5">
        <w:rPr>
          <w:sz w:val="22"/>
          <w:szCs w:val="22"/>
        </w:rPr>
        <w:t>ovárií</w:t>
      </w:r>
      <w:proofErr w:type="spellEnd"/>
      <w:r w:rsidRPr="00D929C5">
        <w:rPr>
          <w:sz w:val="22"/>
          <w:szCs w:val="22"/>
        </w:rPr>
        <w:t xml:space="preserve"> a poruchy vo výskyte </w:t>
      </w:r>
      <w:proofErr w:type="spellStart"/>
      <w:r w:rsidRPr="00D929C5">
        <w:rPr>
          <w:sz w:val="22"/>
          <w:szCs w:val="22"/>
        </w:rPr>
        <w:t>lymforetikulárnych</w:t>
      </w:r>
      <w:proofErr w:type="spellEnd"/>
      <w:r w:rsidRPr="00D929C5">
        <w:rPr>
          <w:sz w:val="22"/>
          <w:szCs w:val="22"/>
        </w:rPr>
        <w:t xml:space="preserve"> novotvarov (menší počet </w:t>
      </w:r>
      <w:proofErr w:type="spellStart"/>
      <w:r w:rsidRPr="00D929C5">
        <w:rPr>
          <w:sz w:val="22"/>
          <w:szCs w:val="22"/>
        </w:rPr>
        <w:t>histiocytových</w:t>
      </w:r>
      <w:proofErr w:type="spellEnd"/>
      <w:r w:rsidRPr="00D929C5">
        <w:rPr>
          <w:sz w:val="22"/>
          <w:szCs w:val="22"/>
        </w:rPr>
        <w:t xml:space="preserve"> sarkómov u samíc a viacero prípadov úhynu v dôsledku </w:t>
      </w:r>
      <w:proofErr w:type="spellStart"/>
      <w:r w:rsidRPr="00D929C5">
        <w:rPr>
          <w:sz w:val="22"/>
          <w:szCs w:val="22"/>
        </w:rPr>
        <w:t>lymfómov</w:t>
      </w:r>
      <w:proofErr w:type="spellEnd"/>
      <w:r w:rsidRPr="00D929C5">
        <w:rPr>
          <w:sz w:val="22"/>
          <w:szCs w:val="22"/>
        </w:rPr>
        <w:t xml:space="preserve">). Tieto zmeny sa považujú za špecifické účinky inhibície </w:t>
      </w:r>
      <w:proofErr w:type="spellStart"/>
      <w:r w:rsidRPr="00D929C5">
        <w:rPr>
          <w:sz w:val="22"/>
          <w:szCs w:val="22"/>
        </w:rPr>
        <w:t>aromatázy</w:t>
      </w:r>
      <w:proofErr w:type="spellEnd"/>
      <w:r w:rsidRPr="00D929C5">
        <w:rPr>
          <w:sz w:val="22"/>
          <w:szCs w:val="22"/>
        </w:rPr>
        <w:t xml:space="preserve"> u myší a nie sú klinicky významné pre pacientky liečené </w:t>
      </w:r>
      <w:proofErr w:type="spellStart"/>
      <w:r w:rsidRPr="00D929C5">
        <w:rPr>
          <w:sz w:val="22"/>
          <w:szCs w:val="22"/>
        </w:rPr>
        <w:t>anastrozolom</w:t>
      </w:r>
      <w:proofErr w:type="spellEnd"/>
      <w:r w:rsidRPr="00D929C5">
        <w:rPr>
          <w:sz w:val="22"/>
          <w:szCs w:val="22"/>
        </w:rPr>
        <w:t>.</w:t>
      </w:r>
    </w:p>
    <w:p w14:paraId="5C7D0B0A" w14:textId="77777777" w:rsidR="00FC67C3" w:rsidRDefault="00FC67C3">
      <w:pPr>
        <w:autoSpaceDE w:val="0"/>
        <w:autoSpaceDN w:val="0"/>
        <w:adjustRightInd w:val="0"/>
        <w:rPr>
          <w:sz w:val="22"/>
          <w:szCs w:val="22"/>
        </w:rPr>
      </w:pPr>
    </w:p>
    <w:p w14:paraId="441D6582" w14:textId="77777777" w:rsidR="00FC67C3" w:rsidRDefault="00FC67C3">
      <w:pPr>
        <w:autoSpaceDE w:val="0"/>
        <w:autoSpaceDN w:val="0"/>
        <w:adjustRightInd w:val="0"/>
        <w:rPr>
          <w:sz w:val="22"/>
          <w:szCs w:val="22"/>
        </w:rPr>
      </w:pPr>
    </w:p>
    <w:p w14:paraId="36CC1521" w14:textId="77777777" w:rsidR="00FC67C3" w:rsidRDefault="00FC67C3">
      <w:pPr>
        <w:autoSpaceDE w:val="0"/>
        <w:autoSpaceDN w:val="0"/>
        <w:adjustRightInd w:val="0"/>
        <w:rPr>
          <w:b/>
          <w:sz w:val="22"/>
          <w:szCs w:val="22"/>
        </w:rPr>
      </w:pPr>
      <w:r>
        <w:rPr>
          <w:b/>
          <w:sz w:val="22"/>
          <w:szCs w:val="22"/>
        </w:rPr>
        <w:t>6.</w:t>
      </w:r>
      <w:r>
        <w:rPr>
          <w:b/>
          <w:sz w:val="22"/>
          <w:szCs w:val="22"/>
        </w:rPr>
        <w:tab/>
        <w:t>FARMACEUTICKÉ INFORMÁCIE</w:t>
      </w:r>
    </w:p>
    <w:p w14:paraId="4E5351DA" w14:textId="77777777" w:rsidR="00FC67C3" w:rsidRDefault="00FC67C3">
      <w:pPr>
        <w:autoSpaceDE w:val="0"/>
        <w:autoSpaceDN w:val="0"/>
        <w:adjustRightInd w:val="0"/>
        <w:rPr>
          <w:b/>
          <w:sz w:val="22"/>
          <w:szCs w:val="22"/>
        </w:rPr>
      </w:pPr>
    </w:p>
    <w:p w14:paraId="6D78013E" w14:textId="77777777" w:rsidR="00FC67C3" w:rsidRDefault="00FC67C3">
      <w:pPr>
        <w:autoSpaceDE w:val="0"/>
        <w:autoSpaceDN w:val="0"/>
        <w:adjustRightInd w:val="0"/>
        <w:rPr>
          <w:b/>
          <w:sz w:val="22"/>
          <w:szCs w:val="22"/>
        </w:rPr>
      </w:pPr>
      <w:r>
        <w:rPr>
          <w:b/>
          <w:sz w:val="22"/>
          <w:szCs w:val="22"/>
        </w:rPr>
        <w:t>6.1</w:t>
      </w:r>
      <w:r>
        <w:rPr>
          <w:b/>
          <w:sz w:val="22"/>
          <w:szCs w:val="22"/>
        </w:rPr>
        <w:tab/>
        <w:t>Zoznam pomocných látok</w:t>
      </w:r>
    </w:p>
    <w:p w14:paraId="2FD49AB1" w14:textId="77777777" w:rsidR="00FC67C3" w:rsidRDefault="00FC67C3">
      <w:pPr>
        <w:autoSpaceDE w:val="0"/>
        <w:autoSpaceDN w:val="0"/>
        <w:adjustRightInd w:val="0"/>
        <w:rPr>
          <w:sz w:val="22"/>
          <w:szCs w:val="22"/>
          <w:u w:val="single"/>
        </w:rPr>
      </w:pPr>
    </w:p>
    <w:p w14:paraId="0A3F32D3" w14:textId="1C448D1E" w:rsidR="00FC67C3" w:rsidRDefault="00821B39">
      <w:pPr>
        <w:autoSpaceDE w:val="0"/>
        <w:autoSpaceDN w:val="0"/>
        <w:adjustRightInd w:val="0"/>
        <w:rPr>
          <w:sz w:val="22"/>
          <w:szCs w:val="22"/>
        </w:rPr>
      </w:pPr>
      <w:proofErr w:type="spellStart"/>
      <w:r>
        <w:rPr>
          <w:sz w:val="22"/>
          <w:szCs w:val="22"/>
        </w:rPr>
        <w:t>m</w:t>
      </w:r>
      <w:r w:rsidR="00FC67C3">
        <w:rPr>
          <w:sz w:val="22"/>
          <w:szCs w:val="22"/>
        </w:rPr>
        <w:t>onohydrát</w:t>
      </w:r>
      <w:proofErr w:type="spellEnd"/>
      <w:r w:rsidR="00FC67C3">
        <w:rPr>
          <w:sz w:val="22"/>
          <w:szCs w:val="22"/>
        </w:rPr>
        <w:t xml:space="preserve"> laktózy </w:t>
      </w:r>
    </w:p>
    <w:p w14:paraId="358D76CF" w14:textId="0CE670FF" w:rsidR="00FC67C3" w:rsidRDefault="00821B39">
      <w:pPr>
        <w:rPr>
          <w:noProof/>
          <w:sz w:val="22"/>
          <w:szCs w:val="22"/>
        </w:rPr>
      </w:pPr>
      <w:r>
        <w:rPr>
          <w:noProof/>
          <w:sz w:val="22"/>
          <w:szCs w:val="22"/>
        </w:rPr>
        <w:t>s</w:t>
      </w:r>
      <w:r w:rsidR="00FC67C3">
        <w:rPr>
          <w:noProof/>
          <w:sz w:val="22"/>
          <w:szCs w:val="22"/>
        </w:rPr>
        <w:t>odná soľ karboxymetylškrobu (typ A)</w:t>
      </w:r>
    </w:p>
    <w:p w14:paraId="0F13B8D8" w14:textId="7F89A9D8" w:rsidR="00FC67C3" w:rsidRDefault="00821B39">
      <w:pPr>
        <w:autoSpaceDE w:val="0"/>
        <w:autoSpaceDN w:val="0"/>
        <w:adjustRightInd w:val="0"/>
        <w:rPr>
          <w:sz w:val="22"/>
          <w:szCs w:val="22"/>
        </w:rPr>
      </w:pPr>
      <w:proofErr w:type="spellStart"/>
      <w:r>
        <w:rPr>
          <w:sz w:val="22"/>
          <w:szCs w:val="22"/>
        </w:rPr>
        <w:t>p</w:t>
      </w:r>
      <w:r w:rsidR="00FC67C3">
        <w:rPr>
          <w:sz w:val="22"/>
          <w:szCs w:val="22"/>
        </w:rPr>
        <w:t>ovidón</w:t>
      </w:r>
      <w:proofErr w:type="spellEnd"/>
      <w:r w:rsidR="00FC67C3">
        <w:rPr>
          <w:sz w:val="22"/>
          <w:szCs w:val="22"/>
        </w:rPr>
        <w:t xml:space="preserve"> (K31) (E1201) </w:t>
      </w:r>
    </w:p>
    <w:p w14:paraId="02A7018D" w14:textId="5F45C10C" w:rsidR="00FC67C3" w:rsidRDefault="00821B39">
      <w:pPr>
        <w:autoSpaceDE w:val="0"/>
        <w:autoSpaceDN w:val="0"/>
        <w:adjustRightInd w:val="0"/>
        <w:rPr>
          <w:sz w:val="22"/>
          <w:szCs w:val="22"/>
        </w:rPr>
      </w:pPr>
      <w:proofErr w:type="spellStart"/>
      <w:r>
        <w:rPr>
          <w:sz w:val="22"/>
          <w:szCs w:val="22"/>
        </w:rPr>
        <w:t>stear</w:t>
      </w:r>
      <w:r w:rsidR="00E241BF">
        <w:rPr>
          <w:sz w:val="22"/>
          <w:szCs w:val="22"/>
        </w:rPr>
        <w:t>át</w:t>
      </w:r>
      <w:proofErr w:type="spellEnd"/>
      <w:r>
        <w:rPr>
          <w:sz w:val="22"/>
          <w:szCs w:val="22"/>
        </w:rPr>
        <w:t xml:space="preserve"> </w:t>
      </w:r>
      <w:proofErr w:type="spellStart"/>
      <w:r>
        <w:rPr>
          <w:sz w:val="22"/>
          <w:szCs w:val="22"/>
        </w:rPr>
        <w:t>horečnatý</w:t>
      </w:r>
      <w:proofErr w:type="spellEnd"/>
      <w:r w:rsidR="00FC67C3">
        <w:rPr>
          <w:sz w:val="22"/>
          <w:szCs w:val="22"/>
        </w:rPr>
        <w:t xml:space="preserve"> (E572) </w:t>
      </w:r>
    </w:p>
    <w:p w14:paraId="5BF331D9" w14:textId="120BD3B0" w:rsidR="00FC67C3" w:rsidRDefault="00821B39">
      <w:pPr>
        <w:autoSpaceDE w:val="0"/>
        <w:autoSpaceDN w:val="0"/>
        <w:adjustRightInd w:val="0"/>
        <w:rPr>
          <w:sz w:val="22"/>
          <w:szCs w:val="22"/>
        </w:rPr>
      </w:pPr>
      <w:proofErr w:type="spellStart"/>
      <w:r>
        <w:rPr>
          <w:sz w:val="22"/>
          <w:szCs w:val="22"/>
        </w:rPr>
        <w:t>m</w:t>
      </w:r>
      <w:r w:rsidR="00FC67C3">
        <w:rPr>
          <w:sz w:val="22"/>
          <w:szCs w:val="22"/>
        </w:rPr>
        <w:t>akrogol</w:t>
      </w:r>
      <w:proofErr w:type="spellEnd"/>
      <w:r w:rsidR="00FC67C3">
        <w:rPr>
          <w:sz w:val="22"/>
          <w:szCs w:val="22"/>
        </w:rPr>
        <w:t xml:space="preserve"> (PEG 400)</w:t>
      </w:r>
    </w:p>
    <w:p w14:paraId="1BCC3172" w14:textId="6AC4B0BF" w:rsidR="00FC67C3" w:rsidRDefault="00821B39">
      <w:pPr>
        <w:autoSpaceDE w:val="0"/>
        <w:autoSpaceDN w:val="0"/>
        <w:adjustRightInd w:val="0"/>
        <w:rPr>
          <w:sz w:val="22"/>
          <w:szCs w:val="22"/>
        </w:rPr>
      </w:pPr>
      <w:proofErr w:type="spellStart"/>
      <w:r>
        <w:rPr>
          <w:sz w:val="22"/>
          <w:szCs w:val="22"/>
        </w:rPr>
        <w:t>h</w:t>
      </w:r>
      <w:r w:rsidR="00FC67C3">
        <w:rPr>
          <w:sz w:val="22"/>
          <w:szCs w:val="22"/>
        </w:rPr>
        <w:t>ypromelóza</w:t>
      </w:r>
      <w:proofErr w:type="spellEnd"/>
      <w:r w:rsidR="00FC67C3">
        <w:rPr>
          <w:sz w:val="22"/>
          <w:szCs w:val="22"/>
        </w:rPr>
        <w:t xml:space="preserve"> (E464)</w:t>
      </w:r>
    </w:p>
    <w:p w14:paraId="0391A435" w14:textId="16BD76DE" w:rsidR="00FC67C3" w:rsidRDefault="00821B39">
      <w:pPr>
        <w:autoSpaceDE w:val="0"/>
        <w:autoSpaceDN w:val="0"/>
        <w:adjustRightInd w:val="0"/>
        <w:rPr>
          <w:sz w:val="22"/>
          <w:szCs w:val="22"/>
        </w:rPr>
      </w:pPr>
      <w:r>
        <w:rPr>
          <w:sz w:val="22"/>
          <w:szCs w:val="22"/>
        </w:rPr>
        <w:t xml:space="preserve">oxid </w:t>
      </w:r>
      <w:proofErr w:type="spellStart"/>
      <w:r>
        <w:rPr>
          <w:sz w:val="22"/>
          <w:szCs w:val="22"/>
        </w:rPr>
        <w:t>titaničitý</w:t>
      </w:r>
      <w:proofErr w:type="spellEnd"/>
      <w:r w:rsidR="00FC67C3">
        <w:rPr>
          <w:sz w:val="22"/>
          <w:szCs w:val="22"/>
        </w:rPr>
        <w:t xml:space="preserve"> (E171)</w:t>
      </w:r>
    </w:p>
    <w:p w14:paraId="055524CD" w14:textId="77777777" w:rsidR="00FC67C3" w:rsidRDefault="00FC67C3">
      <w:pPr>
        <w:autoSpaceDE w:val="0"/>
        <w:autoSpaceDN w:val="0"/>
        <w:adjustRightInd w:val="0"/>
        <w:rPr>
          <w:b/>
          <w:sz w:val="22"/>
          <w:szCs w:val="22"/>
        </w:rPr>
      </w:pPr>
    </w:p>
    <w:p w14:paraId="2E719202" w14:textId="77777777" w:rsidR="00FC67C3" w:rsidRDefault="00FC67C3">
      <w:pPr>
        <w:autoSpaceDE w:val="0"/>
        <w:autoSpaceDN w:val="0"/>
        <w:adjustRightInd w:val="0"/>
        <w:rPr>
          <w:b/>
          <w:sz w:val="22"/>
          <w:szCs w:val="22"/>
        </w:rPr>
      </w:pPr>
      <w:r>
        <w:rPr>
          <w:b/>
          <w:sz w:val="22"/>
          <w:szCs w:val="22"/>
        </w:rPr>
        <w:t>6.2</w:t>
      </w:r>
      <w:r>
        <w:rPr>
          <w:b/>
          <w:sz w:val="22"/>
          <w:szCs w:val="22"/>
        </w:rPr>
        <w:tab/>
        <w:t>Inkompatibility</w:t>
      </w:r>
    </w:p>
    <w:p w14:paraId="55FB1FC8" w14:textId="77777777" w:rsidR="00FC67C3" w:rsidRDefault="00FC67C3">
      <w:pPr>
        <w:autoSpaceDE w:val="0"/>
        <w:autoSpaceDN w:val="0"/>
        <w:adjustRightInd w:val="0"/>
        <w:rPr>
          <w:sz w:val="22"/>
          <w:szCs w:val="22"/>
        </w:rPr>
      </w:pPr>
    </w:p>
    <w:p w14:paraId="1DFF1952" w14:textId="77777777" w:rsidR="00FC67C3" w:rsidRDefault="00FC67C3">
      <w:pPr>
        <w:autoSpaceDE w:val="0"/>
        <w:autoSpaceDN w:val="0"/>
        <w:adjustRightInd w:val="0"/>
        <w:rPr>
          <w:sz w:val="22"/>
          <w:szCs w:val="22"/>
        </w:rPr>
      </w:pPr>
      <w:r>
        <w:rPr>
          <w:sz w:val="22"/>
          <w:szCs w:val="22"/>
        </w:rPr>
        <w:t>Neaplikovateľné.</w:t>
      </w:r>
    </w:p>
    <w:p w14:paraId="5E7B1436" w14:textId="77777777" w:rsidR="00FC67C3" w:rsidRDefault="00FC67C3">
      <w:pPr>
        <w:autoSpaceDE w:val="0"/>
        <w:autoSpaceDN w:val="0"/>
        <w:adjustRightInd w:val="0"/>
        <w:rPr>
          <w:sz w:val="22"/>
          <w:szCs w:val="22"/>
        </w:rPr>
      </w:pPr>
    </w:p>
    <w:p w14:paraId="32C34903" w14:textId="77777777" w:rsidR="00FC67C3" w:rsidRDefault="00FC67C3">
      <w:pPr>
        <w:autoSpaceDE w:val="0"/>
        <w:autoSpaceDN w:val="0"/>
        <w:adjustRightInd w:val="0"/>
        <w:rPr>
          <w:b/>
          <w:sz w:val="22"/>
          <w:szCs w:val="22"/>
        </w:rPr>
      </w:pPr>
      <w:r>
        <w:rPr>
          <w:b/>
          <w:sz w:val="22"/>
          <w:szCs w:val="22"/>
        </w:rPr>
        <w:t>6.3</w:t>
      </w:r>
      <w:r>
        <w:rPr>
          <w:b/>
          <w:sz w:val="22"/>
          <w:szCs w:val="22"/>
        </w:rPr>
        <w:tab/>
        <w:t>Čas použiteľnosti</w:t>
      </w:r>
    </w:p>
    <w:p w14:paraId="08D4D96D" w14:textId="77777777" w:rsidR="00FC67C3" w:rsidRDefault="00FC67C3">
      <w:pPr>
        <w:autoSpaceDE w:val="0"/>
        <w:autoSpaceDN w:val="0"/>
        <w:adjustRightInd w:val="0"/>
        <w:rPr>
          <w:sz w:val="22"/>
          <w:szCs w:val="22"/>
        </w:rPr>
      </w:pPr>
    </w:p>
    <w:p w14:paraId="68A5DC33" w14:textId="77777777" w:rsidR="00FC67C3" w:rsidRDefault="00940F4F">
      <w:pPr>
        <w:autoSpaceDE w:val="0"/>
        <w:autoSpaceDN w:val="0"/>
        <w:adjustRightInd w:val="0"/>
        <w:rPr>
          <w:sz w:val="22"/>
          <w:szCs w:val="22"/>
        </w:rPr>
      </w:pPr>
      <w:r>
        <w:rPr>
          <w:sz w:val="22"/>
          <w:szCs w:val="22"/>
        </w:rPr>
        <w:t>48</w:t>
      </w:r>
      <w:r w:rsidR="00FC67C3">
        <w:rPr>
          <w:sz w:val="22"/>
          <w:szCs w:val="22"/>
        </w:rPr>
        <w:t xml:space="preserve"> mesiacov</w:t>
      </w:r>
      <w:r w:rsidR="00BF20E8">
        <w:rPr>
          <w:sz w:val="22"/>
          <w:szCs w:val="22"/>
        </w:rPr>
        <w:t>.</w:t>
      </w:r>
    </w:p>
    <w:p w14:paraId="3DFD73CF" w14:textId="77777777" w:rsidR="00FC67C3" w:rsidRDefault="00FC67C3">
      <w:pPr>
        <w:autoSpaceDE w:val="0"/>
        <w:autoSpaceDN w:val="0"/>
        <w:adjustRightInd w:val="0"/>
        <w:rPr>
          <w:sz w:val="22"/>
          <w:szCs w:val="22"/>
        </w:rPr>
      </w:pPr>
    </w:p>
    <w:p w14:paraId="3F509987" w14:textId="77777777" w:rsidR="00FC67C3" w:rsidRDefault="00FC67C3">
      <w:pPr>
        <w:autoSpaceDE w:val="0"/>
        <w:autoSpaceDN w:val="0"/>
        <w:adjustRightInd w:val="0"/>
        <w:rPr>
          <w:b/>
          <w:sz w:val="22"/>
          <w:szCs w:val="22"/>
        </w:rPr>
      </w:pPr>
      <w:r>
        <w:rPr>
          <w:b/>
          <w:sz w:val="22"/>
          <w:szCs w:val="22"/>
        </w:rPr>
        <w:t>6.4</w:t>
      </w:r>
      <w:r>
        <w:rPr>
          <w:b/>
          <w:sz w:val="22"/>
          <w:szCs w:val="22"/>
        </w:rPr>
        <w:tab/>
        <w:t>Špeciálne upozornenia na uchovávanie</w:t>
      </w:r>
    </w:p>
    <w:p w14:paraId="121E94E8" w14:textId="77777777" w:rsidR="00FC67C3" w:rsidRDefault="00FC67C3">
      <w:pPr>
        <w:autoSpaceDE w:val="0"/>
        <w:autoSpaceDN w:val="0"/>
        <w:adjustRightInd w:val="0"/>
        <w:rPr>
          <w:b/>
          <w:sz w:val="22"/>
          <w:szCs w:val="22"/>
        </w:rPr>
      </w:pPr>
    </w:p>
    <w:p w14:paraId="3A4338FC" w14:textId="77777777" w:rsidR="00FC67C3" w:rsidRDefault="00FC67C3">
      <w:pPr>
        <w:autoSpaceDE w:val="0"/>
        <w:autoSpaceDN w:val="0"/>
        <w:adjustRightInd w:val="0"/>
        <w:rPr>
          <w:sz w:val="22"/>
          <w:szCs w:val="22"/>
        </w:rPr>
      </w:pPr>
      <w:r>
        <w:rPr>
          <w:sz w:val="22"/>
          <w:szCs w:val="22"/>
        </w:rPr>
        <w:t>Tento liek nevyžaduje žiadne zvláštne podmienky na uchovávanie.</w:t>
      </w:r>
    </w:p>
    <w:p w14:paraId="3FEDF7EF" w14:textId="77777777" w:rsidR="00FC67C3" w:rsidRDefault="00FC67C3">
      <w:pPr>
        <w:autoSpaceDE w:val="0"/>
        <w:autoSpaceDN w:val="0"/>
        <w:adjustRightInd w:val="0"/>
        <w:rPr>
          <w:sz w:val="22"/>
          <w:szCs w:val="22"/>
        </w:rPr>
      </w:pPr>
    </w:p>
    <w:p w14:paraId="274D643E" w14:textId="77777777" w:rsidR="00FC67C3" w:rsidRDefault="00FC67C3">
      <w:pPr>
        <w:autoSpaceDE w:val="0"/>
        <w:autoSpaceDN w:val="0"/>
        <w:adjustRightInd w:val="0"/>
        <w:rPr>
          <w:b/>
          <w:sz w:val="22"/>
          <w:szCs w:val="22"/>
        </w:rPr>
      </w:pPr>
      <w:r>
        <w:rPr>
          <w:b/>
          <w:sz w:val="22"/>
          <w:szCs w:val="22"/>
        </w:rPr>
        <w:t>6.5</w:t>
      </w:r>
      <w:r>
        <w:rPr>
          <w:b/>
          <w:sz w:val="22"/>
          <w:szCs w:val="22"/>
        </w:rPr>
        <w:tab/>
        <w:t xml:space="preserve">Druh obalu a obsah balenia </w:t>
      </w:r>
    </w:p>
    <w:p w14:paraId="5F0B5EE3" w14:textId="77777777" w:rsidR="00FC67C3" w:rsidRDefault="00FC67C3">
      <w:pPr>
        <w:autoSpaceDE w:val="0"/>
        <w:autoSpaceDN w:val="0"/>
        <w:adjustRightInd w:val="0"/>
        <w:rPr>
          <w:b/>
          <w:sz w:val="22"/>
          <w:szCs w:val="22"/>
        </w:rPr>
      </w:pPr>
      <w:r>
        <w:rPr>
          <w:b/>
          <w:sz w:val="22"/>
          <w:szCs w:val="22"/>
        </w:rPr>
        <w:tab/>
      </w:r>
    </w:p>
    <w:p w14:paraId="5244056D" w14:textId="11942563" w:rsidR="00FC67C3" w:rsidRDefault="00FC67C3">
      <w:pPr>
        <w:autoSpaceDE w:val="0"/>
        <w:autoSpaceDN w:val="0"/>
        <w:adjustRightInd w:val="0"/>
        <w:rPr>
          <w:sz w:val="22"/>
          <w:szCs w:val="22"/>
        </w:rPr>
      </w:pPr>
      <w:r>
        <w:rPr>
          <w:sz w:val="22"/>
          <w:szCs w:val="22"/>
        </w:rPr>
        <w:t xml:space="preserve">Papierové </w:t>
      </w:r>
      <w:r>
        <w:rPr>
          <w:noProof/>
          <w:sz w:val="22"/>
          <w:szCs w:val="22"/>
        </w:rPr>
        <w:t>škatuľky</w:t>
      </w:r>
      <w:r>
        <w:rPr>
          <w:sz w:val="22"/>
          <w:szCs w:val="22"/>
        </w:rPr>
        <w:t>, ktoré obsahujú PVC/PE/PVDC/A</w:t>
      </w:r>
      <w:r w:rsidR="00821B39">
        <w:rPr>
          <w:sz w:val="22"/>
          <w:szCs w:val="22"/>
        </w:rPr>
        <w:t>LU</w:t>
      </w:r>
      <w:r>
        <w:rPr>
          <w:sz w:val="22"/>
          <w:szCs w:val="22"/>
        </w:rPr>
        <w:t xml:space="preserve"> </w:t>
      </w:r>
      <w:proofErr w:type="spellStart"/>
      <w:r>
        <w:rPr>
          <w:sz w:val="22"/>
          <w:szCs w:val="22"/>
        </w:rPr>
        <w:t>blistre</w:t>
      </w:r>
      <w:proofErr w:type="spellEnd"/>
      <w:r>
        <w:rPr>
          <w:sz w:val="22"/>
          <w:szCs w:val="22"/>
        </w:rPr>
        <w:t xml:space="preserve"> po 10, 14, 20, 28, 30, 50, 56, 60, 84, 90, 98, 100 alebo 300 tabliet a </w:t>
      </w:r>
      <w:proofErr w:type="spellStart"/>
      <w:r>
        <w:rPr>
          <w:sz w:val="22"/>
          <w:szCs w:val="22"/>
        </w:rPr>
        <w:t>blistre</w:t>
      </w:r>
      <w:proofErr w:type="spellEnd"/>
      <w:r>
        <w:rPr>
          <w:sz w:val="22"/>
          <w:szCs w:val="22"/>
        </w:rPr>
        <w:t xml:space="preserve"> pre nemocnice (PVC/PE/PVDC/A</w:t>
      </w:r>
      <w:r w:rsidR="00821B39">
        <w:rPr>
          <w:sz w:val="22"/>
          <w:szCs w:val="22"/>
        </w:rPr>
        <w:t>LU</w:t>
      </w:r>
      <w:r>
        <w:rPr>
          <w:sz w:val="22"/>
          <w:szCs w:val="22"/>
        </w:rPr>
        <w:t>) po 28, 50, 84, 98, 300 alebo 500 tabliet.</w:t>
      </w:r>
    </w:p>
    <w:p w14:paraId="16911412" w14:textId="77777777" w:rsidR="00FC67C3" w:rsidRDefault="00FC67C3">
      <w:pPr>
        <w:autoSpaceDE w:val="0"/>
        <w:autoSpaceDN w:val="0"/>
        <w:adjustRightInd w:val="0"/>
        <w:rPr>
          <w:sz w:val="22"/>
          <w:szCs w:val="22"/>
        </w:rPr>
      </w:pPr>
    </w:p>
    <w:p w14:paraId="56BBB87A" w14:textId="77777777" w:rsidR="00FC67C3" w:rsidRDefault="00FC67C3">
      <w:pPr>
        <w:autoSpaceDE w:val="0"/>
        <w:autoSpaceDN w:val="0"/>
        <w:adjustRightInd w:val="0"/>
        <w:rPr>
          <w:sz w:val="22"/>
          <w:szCs w:val="22"/>
        </w:rPr>
      </w:pPr>
      <w:r>
        <w:rPr>
          <w:sz w:val="22"/>
          <w:szCs w:val="22"/>
        </w:rPr>
        <w:t>Nie všetky veľkosti balenia musia byť uvedené na trh.</w:t>
      </w:r>
    </w:p>
    <w:p w14:paraId="7AA0F429" w14:textId="77777777" w:rsidR="00FC67C3" w:rsidRDefault="00FC67C3">
      <w:pPr>
        <w:autoSpaceDE w:val="0"/>
        <w:autoSpaceDN w:val="0"/>
        <w:adjustRightInd w:val="0"/>
        <w:rPr>
          <w:sz w:val="22"/>
          <w:szCs w:val="22"/>
        </w:rPr>
      </w:pPr>
    </w:p>
    <w:p w14:paraId="0BC3D2EA" w14:textId="77777777" w:rsidR="00FC67C3" w:rsidRDefault="00FC67C3">
      <w:pPr>
        <w:autoSpaceDE w:val="0"/>
        <w:autoSpaceDN w:val="0"/>
        <w:adjustRightInd w:val="0"/>
        <w:rPr>
          <w:b/>
          <w:sz w:val="22"/>
          <w:szCs w:val="22"/>
        </w:rPr>
      </w:pPr>
      <w:r>
        <w:rPr>
          <w:b/>
          <w:sz w:val="22"/>
          <w:szCs w:val="22"/>
        </w:rPr>
        <w:t>6.6</w:t>
      </w:r>
      <w:r>
        <w:rPr>
          <w:b/>
          <w:sz w:val="22"/>
          <w:szCs w:val="22"/>
        </w:rPr>
        <w:tab/>
        <w:t>Špeciálne opatrenia na likvidáciu a iné zaobchádzanie s liekom</w:t>
      </w:r>
    </w:p>
    <w:p w14:paraId="727F24F6" w14:textId="77777777" w:rsidR="00FC67C3" w:rsidRDefault="00FC67C3">
      <w:pPr>
        <w:autoSpaceDE w:val="0"/>
        <w:autoSpaceDN w:val="0"/>
        <w:adjustRightInd w:val="0"/>
        <w:rPr>
          <w:sz w:val="22"/>
          <w:szCs w:val="22"/>
        </w:rPr>
      </w:pPr>
    </w:p>
    <w:p w14:paraId="12B9D5ED" w14:textId="77777777" w:rsidR="00FC67C3" w:rsidRDefault="00FC67C3">
      <w:pPr>
        <w:autoSpaceDE w:val="0"/>
        <w:autoSpaceDN w:val="0"/>
        <w:adjustRightInd w:val="0"/>
        <w:rPr>
          <w:sz w:val="22"/>
          <w:szCs w:val="22"/>
        </w:rPr>
      </w:pPr>
      <w:r>
        <w:rPr>
          <w:sz w:val="22"/>
          <w:szCs w:val="22"/>
        </w:rPr>
        <w:t>Žiadne zvláštne požiadavky.</w:t>
      </w:r>
    </w:p>
    <w:p w14:paraId="7E508F94" w14:textId="77777777" w:rsidR="00FC67C3" w:rsidRDefault="00FC67C3">
      <w:pPr>
        <w:autoSpaceDE w:val="0"/>
        <w:autoSpaceDN w:val="0"/>
        <w:adjustRightInd w:val="0"/>
        <w:rPr>
          <w:sz w:val="22"/>
          <w:szCs w:val="22"/>
        </w:rPr>
      </w:pPr>
    </w:p>
    <w:p w14:paraId="73A12097" w14:textId="77777777" w:rsidR="00FC67C3" w:rsidRDefault="00FC67C3">
      <w:pPr>
        <w:autoSpaceDE w:val="0"/>
        <w:autoSpaceDN w:val="0"/>
        <w:adjustRightInd w:val="0"/>
        <w:rPr>
          <w:sz w:val="22"/>
          <w:szCs w:val="22"/>
        </w:rPr>
      </w:pPr>
    </w:p>
    <w:p w14:paraId="076C3C91" w14:textId="77777777" w:rsidR="00FC67C3" w:rsidRDefault="00FC67C3">
      <w:pPr>
        <w:autoSpaceDE w:val="0"/>
        <w:autoSpaceDN w:val="0"/>
        <w:adjustRightInd w:val="0"/>
        <w:rPr>
          <w:b/>
          <w:sz w:val="22"/>
          <w:szCs w:val="22"/>
        </w:rPr>
      </w:pPr>
      <w:r>
        <w:rPr>
          <w:b/>
          <w:sz w:val="22"/>
          <w:szCs w:val="22"/>
        </w:rPr>
        <w:t>7.</w:t>
      </w:r>
      <w:r>
        <w:rPr>
          <w:b/>
          <w:sz w:val="22"/>
          <w:szCs w:val="22"/>
        </w:rPr>
        <w:tab/>
        <w:t>DRŽITEĽ ROZHODNUTIA O REGISTRÁCII</w:t>
      </w:r>
    </w:p>
    <w:p w14:paraId="5E5C35F4" w14:textId="77777777" w:rsidR="00FC67C3" w:rsidRDefault="00FC67C3">
      <w:pPr>
        <w:autoSpaceDE w:val="0"/>
        <w:autoSpaceDN w:val="0"/>
        <w:adjustRightInd w:val="0"/>
        <w:rPr>
          <w:b/>
          <w:sz w:val="22"/>
          <w:szCs w:val="22"/>
        </w:rPr>
      </w:pPr>
    </w:p>
    <w:p w14:paraId="128EC316" w14:textId="77777777" w:rsidR="009E1531" w:rsidRPr="002B17C0" w:rsidRDefault="009E1531" w:rsidP="009E1531">
      <w:pPr>
        <w:rPr>
          <w:sz w:val="22"/>
        </w:rPr>
      </w:pPr>
      <w:proofErr w:type="spellStart"/>
      <w:r w:rsidRPr="002B17C0">
        <w:rPr>
          <w:sz w:val="22"/>
        </w:rPr>
        <w:t>Pharm</w:t>
      </w:r>
      <w:r w:rsidR="00F34D5F">
        <w:rPr>
          <w:sz w:val="22"/>
        </w:rPr>
        <w:t>evid</w:t>
      </w:r>
      <w:proofErr w:type="spellEnd"/>
      <w:r w:rsidR="00827E26">
        <w:rPr>
          <w:sz w:val="22"/>
        </w:rPr>
        <w:t xml:space="preserve"> </w:t>
      </w:r>
      <w:proofErr w:type="spellStart"/>
      <w:r w:rsidR="00827E26">
        <w:rPr>
          <w:sz w:val="22"/>
        </w:rPr>
        <w:t>s.r.o</w:t>
      </w:r>
      <w:proofErr w:type="spellEnd"/>
      <w:r w:rsidR="00827E26">
        <w:rPr>
          <w:sz w:val="22"/>
        </w:rPr>
        <w:t>., Kremnická 26, 851 01, Bratislava, Slovenská republika</w:t>
      </w:r>
    </w:p>
    <w:p w14:paraId="09DED69F" w14:textId="77777777" w:rsidR="00FC67C3" w:rsidRDefault="00FC67C3"/>
    <w:p w14:paraId="44DC4B02" w14:textId="77777777" w:rsidR="00FC67C3" w:rsidRDefault="00FC67C3">
      <w:pPr>
        <w:autoSpaceDE w:val="0"/>
        <w:autoSpaceDN w:val="0"/>
        <w:adjustRightInd w:val="0"/>
        <w:rPr>
          <w:b/>
          <w:sz w:val="22"/>
          <w:szCs w:val="22"/>
        </w:rPr>
      </w:pPr>
    </w:p>
    <w:p w14:paraId="52365CE0" w14:textId="77777777" w:rsidR="00FC67C3" w:rsidRDefault="00FC67C3">
      <w:pPr>
        <w:autoSpaceDE w:val="0"/>
        <w:autoSpaceDN w:val="0"/>
        <w:adjustRightInd w:val="0"/>
        <w:rPr>
          <w:b/>
          <w:sz w:val="22"/>
          <w:szCs w:val="22"/>
        </w:rPr>
      </w:pPr>
      <w:r>
        <w:rPr>
          <w:b/>
          <w:sz w:val="22"/>
          <w:szCs w:val="22"/>
        </w:rPr>
        <w:t>8.</w:t>
      </w:r>
      <w:r>
        <w:rPr>
          <w:b/>
          <w:sz w:val="22"/>
          <w:szCs w:val="22"/>
        </w:rPr>
        <w:tab/>
        <w:t>REGISTRAČNÉ ČÍSLO</w:t>
      </w:r>
    </w:p>
    <w:p w14:paraId="0A95CC5A" w14:textId="77777777" w:rsidR="00FC67C3" w:rsidRDefault="00FC67C3">
      <w:pPr>
        <w:autoSpaceDE w:val="0"/>
        <w:autoSpaceDN w:val="0"/>
        <w:adjustRightInd w:val="0"/>
        <w:rPr>
          <w:b/>
          <w:sz w:val="22"/>
          <w:szCs w:val="22"/>
        </w:rPr>
      </w:pPr>
    </w:p>
    <w:p w14:paraId="2FCD5D68" w14:textId="77777777" w:rsidR="00FC67C3" w:rsidRDefault="00FC67C3">
      <w:pPr>
        <w:autoSpaceDE w:val="0"/>
        <w:autoSpaceDN w:val="0"/>
        <w:adjustRightInd w:val="0"/>
        <w:rPr>
          <w:bCs/>
          <w:sz w:val="22"/>
          <w:szCs w:val="22"/>
        </w:rPr>
      </w:pPr>
      <w:r>
        <w:rPr>
          <w:bCs/>
          <w:sz w:val="22"/>
          <w:szCs w:val="22"/>
        </w:rPr>
        <w:t>44/0386/08-S</w:t>
      </w:r>
    </w:p>
    <w:p w14:paraId="748527E9" w14:textId="77777777" w:rsidR="00FC67C3" w:rsidRDefault="00FC67C3">
      <w:pPr>
        <w:autoSpaceDE w:val="0"/>
        <w:autoSpaceDN w:val="0"/>
        <w:adjustRightInd w:val="0"/>
        <w:rPr>
          <w:bCs/>
          <w:sz w:val="22"/>
          <w:szCs w:val="22"/>
        </w:rPr>
      </w:pPr>
    </w:p>
    <w:p w14:paraId="3358FA46" w14:textId="77777777" w:rsidR="00FC67C3" w:rsidRDefault="00FC67C3">
      <w:pPr>
        <w:autoSpaceDE w:val="0"/>
        <w:autoSpaceDN w:val="0"/>
        <w:adjustRightInd w:val="0"/>
        <w:rPr>
          <w:b/>
          <w:sz w:val="22"/>
          <w:szCs w:val="22"/>
        </w:rPr>
      </w:pPr>
    </w:p>
    <w:p w14:paraId="7786272B" w14:textId="77777777" w:rsidR="00FC67C3" w:rsidRDefault="00FC67C3">
      <w:pPr>
        <w:autoSpaceDE w:val="0"/>
        <w:autoSpaceDN w:val="0"/>
        <w:adjustRightInd w:val="0"/>
        <w:rPr>
          <w:b/>
          <w:sz w:val="22"/>
          <w:szCs w:val="22"/>
        </w:rPr>
      </w:pPr>
      <w:r>
        <w:rPr>
          <w:b/>
          <w:sz w:val="22"/>
          <w:szCs w:val="22"/>
        </w:rPr>
        <w:t>9.</w:t>
      </w:r>
      <w:r>
        <w:rPr>
          <w:b/>
          <w:sz w:val="22"/>
          <w:szCs w:val="22"/>
        </w:rPr>
        <w:tab/>
        <w:t>DÁTUM PRVEJ REGISTRÁCIE/PREDĹŽENIA REGISTRÁCIE</w:t>
      </w:r>
    </w:p>
    <w:p w14:paraId="7099915B" w14:textId="77777777" w:rsidR="00940F4F" w:rsidRDefault="00940F4F">
      <w:pPr>
        <w:autoSpaceDE w:val="0"/>
        <w:autoSpaceDN w:val="0"/>
        <w:adjustRightInd w:val="0"/>
        <w:rPr>
          <w:b/>
          <w:sz w:val="22"/>
          <w:szCs w:val="22"/>
        </w:rPr>
      </w:pPr>
    </w:p>
    <w:p w14:paraId="4E6A5043" w14:textId="77777777" w:rsidR="00940F4F" w:rsidRPr="00B12619" w:rsidRDefault="00827E26">
      <w:pPr>
        <w:autoSpaceDE w:val="0"/>
        <w:autoSpaceDN w:val="0"/>
        <w:adjustRightInd w:val="0"/>
        <w:rPr>
          <w:sz w:val="22"/>
          <w:szCs w:val="22"/>
        </w:rPr>
      </w:pPr>
      <w:r>
        <w:rPr>
          <w:sz w:val="22"/>
          <w:szCs w:val="22"/>
        </w:rPr>
        <w:t xml:space="preserve">Dátum prvej registrácie: </w:t>
      </w:r>
      <w:r w:rsidR="00940F4F" w:rsidRPr="00B12619">
        <w:rPr>
          <w:sz w:val="22"/>
          <w:szCs w:val="22"/>
        </w:rPr>
        <w:t xml:space="preserve">21. </w:t>
      </w:r>
      <w:r w:rsidR="0016635C">
        <w:rPr>
          <w:sz w:val="22"/>
          <w:szCs w:val="22"/>
        </w:rPr>
        <w:t>januára</w:t>
      </w:r>
      <w:r w:rsidR="00940F4F" w:rsidRPr="00B12619">
        <w:rPr>
          <w:sz w:val="22"/>
          <w:szCs w:val="22"/>
        </w:rPr>
        <w:t xml:space="preserve"> 2009</w:t>
      </w:r>
    </w:p>
    <w:p w14:paraId="5F95EC16" w14:textId="77777777" w:rsidR="00FC67C3" w:rsidRPr="00A97D23" w:rsidRDefault="00827E26">
      <w:pPr>
        <w:autoSpaceDE w:val="0"/>
        <w:autoSpaceDN w:val="0"/>
        <w:adjustRightInd w:val="0"/>
        <w:rPr>
          <w:sz w:val="22"/>
          <w:szCs w:val="22"/>
        </w:rPr>
      </w:pPr>
      <w:r>
        <w:rPr>
          <w:sz w:val="22"/>
          <w:szCs w:val="22"/>
        </w:rPr>
        <w:t>Dátum predĺženia registrácie: 26.</w:t>
      </w:r>
      <w:r w:rsidR="0016635C">
        <w:rPr>
          <w:sz w:val="22"/>
          <w:szCs w:val="22"/>
        </w:rPr>
        <w:t xml:space="preserve"> marca </w:t>
      </w:r>
      <w:r>
        <w:rPr>
          <w:sz w:val="22"/>
          <w:szCs w:val="22"/>
        </w:rPr>
        <w:t>2013</w:t>
      </w:r>
    </w:p>
    <w:p w14:paraId="158EE85A" w14:textId="77777777" w:rsidR="00750C8D" w:rsidRDefault="00750C8D">
      <w:pPr>
        <w:autoSpaceDE w:val="0"/>
        <w:autoSpaceDN w:val="0"/>
        <w:adjustRightInd w:val="0"/>
        <w:rPr>
          <w:b/>
          <w:sz w:val="22"/>
          <w:szCs w:val="22"/>
        </w:rPr>
      </w:pPr>
    </w:p>
    <w:p w14:paraId="26748ECD" w14:textId="77777777" w:rsidR="00750C8D" w:rsidRDefault="00750C8D">
      <w:pPr>
        <w:autoSpaceDE w:val="0"/>
        <w:autoSpaceDN w:val="0"/>
        <w:adjustRightInd w:val="0"/>
        <w:rPr>
          <w:b/>
          <w:sz w:val="22"/>
          <w:szCs w:val="22"/>
        </w:rPr>
      </w:pPr>
    </w:p>
    <w:p w14:paraId="60971A99" w14:textId="77777777" w:rsidR="00FC67C3" w:rsidRDefault="00FC67C3">
      <w:pPr>
        <w:autoSpaceDE w:val="0"/>
        <w:autoSpaceDN w:val="0"/>
        <w:adjustRightInd w:val="0"/>
        <w:rPr>
          <w:b/>
          <w:sz w:val="22"/>
          <w:szCs w:val="22"/>
        </w:rPr>
      </w:pPr>
      <w:r>
        <w:rPr>
          <w:b/>
          <w:sz w:val="22"/>
          <w:szCs w:val="22"/>
        </w:rPr>
        <w:t>10.</w:t>
      </w:r>
      <w:r>
        <w:rPr>
          <w:b/>
          <w:sz w:val="22"/>
          <w:szCs w:val="22"/>
        </w:rPr>
        <w:tab/>
        <w:t>DÁTUM REVÍZIE TEXTU</w:t>
      </w:r>
    </w:p>
    <w:p w14:paraId="1FE44E67" w14:textId="77777777" w:rsidR="00C861AD" w:rsidRDefault="00C861AD">
      <w:pPr>
        <w:autoSpaceDE w:val="0"/>
        <w:autoSpaceDN w:val="0"/>
        <w:adjustRightInd w:val="0"/>
        <w:rPr>
          <w:b/>
          <w:sz w:val="22"/>
          <w:szCs w:val="22"/>
        </w:rPr>
      </w:pPr>
    </w:p>
    <w:p w14:paraId="6F02300E" w14:textId="332E5D62" w:rsidR="00FC67C3" w:rsidRDefault="005736C1">
      <w:pPr>
        <w:autoSpaceDE w:val="0"/>
        <w:autoSpaceDN w:val="0"/>
        <w:adjustRightInd w:val="0"/>
        <w:rPr>
          <w:sz w:val="22"/>
          <w:szCs w:val="22"/>
        </w:rPr>
      </w:pPr>
      <w:r>
        <w:rPr>
          <w:sz w:val="22"/>
          <w:szCs w:val="22"/>
        </w:rPr>
        <w:t>Marec 2021</w:t>
      </w:r>
    </w:p>
    <w:p w14:paraId="41FA737C" w14:textId="77777777" w:rsidR="00FC67C3" w:rsidRDefault="00FC67C3">
      <w:pPr>
        <w:rPr>
          <w:sz w:val="22"/>
          <w:szCs w:val="22"/>
        </w:rPr>
      </w:pPr>
    </w:p>
    <w:p w14:paraId="402D3330" w14:textId="77777777" w:rsidR="00FC67C3" w:rsidRDefault="00FC67C3">
      <w:pPr>
        <w:ind w:left="708"/>
        <w:rPr>
          <w:sz w:val="22"/>
          <w:szCs w:val="22"/>
        </w:rPr>
      </w:pPr>
    </w:p>
    <w:sectPr w:rsidR="00FC67C3" w:rsidSect="004822C3">
      <w:headerReference w:type="even" r:id="rId9"/>
      <w:headerReference w:type="default" r:id="rId10"/>
      <w:footerReference w:type="even" r:id="rId11"/>
      <w:footerReference w:type="default" r:id="rId12"/>
      <w:headerReference w:type="first" r:id="rId13"/>
      <w:footerReference w:type="first" r:id="rId14"/>
      <w:pgSz w:w="11906" w:h="16838" w:code="9"/>
      <w:pgMar w:top="1138" w:right="1411" w:bottom="1138" w:left="1411" w:header="734" w:footer="7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FFBDAD" w14:textId="77777777" w:rsidR="00DA2D83" w:rsidRDefault="00DA2D83">
      <w:r>
        <w:separator/>
      </w:r>
    </w:p>
  </w:endnote>
  <w:endnote w:type="continuationSeparator" w:id="0">
    <w:p w14:paraId="724F2321" w14:textId="77777777" w:rsidR="00DA2D83" w:rsidRDefault="00DA2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666C9" w14:textId="77777777" w:rsidR="00D12A63" w:rsidRDefault="00D12A63">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B7326" w14:textId="77777777" w:rsidR="004822C3" w:rsidRDefault="004822C3" w:rsidP="003063FA">
    <w:pPr>
      <w:pStyle w:val="Pta"/>
      <w:jc w:val="center"/>
    </w:pPr>
    <w:r>
      <w:rPr>
        <w:rStyle w:val="slostrany"/>
      </w:rPr>
      <w:fldChar w:fldCharType="begin"/>
    </w:r>
    <w:r>
      <w:rPr>
        <w:rStyle w:val="slostrany"/>
      </w:rPr>
      <w:instrText xml:space="preserve"> PAGE </w:instrText>
    </w:r>
    <w:r>
      <w:rPr>
        <w:rStyle w:val="slostrany"/>
      </w:rPr>
      <w:fldChar w:fldCharType="separate"/>
    </w:r>
    <w:r w:rsidR="007D20FB">
      <w:rPr>
        <w:rStyle w:val="slostrany"/>
        <w:noProof/>
      </w:rPr>
      <w:t>13</w:t>
    </w:r>
    <w:r>
      <w:rPr>
        <w:rStyle w:val="slostran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DFC3B" w14:textId="77777777" w:rsidR="00D12A63" w:rsidRDefault="00D12A6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418344" w14:textId="77777777" w:rsidR="00DA2D83" w:rsidRDefault="00DA2D83">
      <w:r>
        <w:separator/>
      </w:r>
    </w:p>
  </w:footnote>
  <w:footnote w:type="continuationSeparator" w:id="0">
    <w:p w14:paraId="21B94A7C" w14:textId="77777777" w:rsidR="00DA2D83" w:rsidRDefault="00DA2D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49A6D" w14:textId="77777777" w:rsidR="00D12A63" w:rsidRDefault="00D12A63">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0D36C" w14:textId="77777777" w:rsidR="004822C3" w:rsidRPr="003063FA" w:rsidRDefault="004822C3">
    <w:pPr>
      <w:pStyle w:val="Hlavika"/>
      <w:rPr>
        <w:sz w:val="22"/>
        <w:szCs w:val="22"/>
      </w:rPr>
    </w:pPr>
    <w:r w:rsidRPr="00FE08C4">
      <w:rPr>
        <w:sz w:val="18"/>
        <w:szCs w:val="18"/>
      </w:rPr>
      <w:t>Schválený text k rozhodnutiu o pre</w:t>
    </w:r>
    <w:r>
      <w:rPr>
        <w:sz w:val="18"/>
        <w:szCs w:val="18"/>
      </w:rPr>
      <w:t>vode</w:t>
    </w:r>
    <w:r w:rsidRPr="00FE08C4">
      <w:rPr>
        <w:sz w:val="18"/>
        <w:szCs w:val="18"/>
      </w:rPr>
      <w:t>, ev. č. 201</w:t>
    </w:r>
    <w:r>
      <w:rPr>
        <w:sz w:val="18"/>
        <w:szCs w:val="18"/>
      </w:rPr>
      <w:t>7</w:t>
    </w:r>
    <w:r w:rsidRPr="00FE08C4">
      <w:rPr>
        <w:sz w:val="18"/>
        <w:szCs w:val="18"/>
      </w:rPr>
      <w:t>/0</w:t>
    </w:r>
    <w:r>
      <w:rPr>
        <w:sz w:val="18"/>
        <w:szCs w:val="18"/>
      </w:rPr>
      <w:t>6979-TR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0BB10" w14:textId="11851D17" w:rsidR="0011484C" w:rsidRPr="00940F4F" w:rsidRDefault="00811B76">
    <w:pPr>
      <w:pStyle w:val="Hlavika"/>
      <w:rPr>
        <w:sz w:val="22"/>
        <w:szCs w:val="22"/>
      </w:rPr>
    </w:pPr>
    <w:r>
      <w:rPr>
        <w:sz w:val="18"/>
        <w:szCs w:val="18"/>
      </w:rPr>
      <w:t>Príloha č. 1 k notifikácii o zmene</w:t>
    </w:r>
    <w:r w:rsidR="0011484C" w:rsidRPr="00FE08C4">
      <w:rPr>
        <w:sz w:val="18"/>
        <w:szCs w:val="18"/>
      </w:rPr>
      <w:t>, ev. č. 20</w:t>
    </w:r>
    <w:r>
      <w:rPr>
        <w:sz w:val="18"/>
        <w:szCs w:val="18"/>
      </w:rPr>
      <w:t>20</w:t>
    </w:r>
    <w:r w:rsidR="0011484C" w:rsidRPr="00FE08C4">
      <w:rPr>
        <w:sz w:val="18"/>
        <w:szCs w:val="18"/>
      </w:rPr>
      <w:t>/0</w:t>
    </w:r>
    <w:r w:rsidR="00AF6A47">
      <w:rPr>
        <w:sz w:val="18"/>
        <w:szCs w:val="18"/>
      </w:rPr>
      <w:t>1821</w:t>
    </w:r>
    <w:r>
      <w:rPr>
        <w:sz w:val="18"/>
        <w:szCs w:val="18"/>
      </w:rPr>
      <w:t>-Z1B</w:t>
    </w:r>
    <w:r w:rsidR="00DF2FE1">
      <w:rPr>
        <w:sz w:val="18"/>
        <w:szCs w:val="18"/>
      </w:rPr>
      <w:t>, 2021/0</w:t>
    </w:r>
    <w:r w:rsidR="00D12A63">
      <w:rPr>
        <w:sz w:val="18"/>
        <w:szCs w:val="18"/>
      </w:rPr>
      <w:t>0880</w:t>
    </w:r>
    <w:r w:rsidR="00DF2FE1">
      <w:rPr>
        <w:sz w:val="18"/>
        <w:szCs w:val="18"/>
      </w:rPr>
      <w:t>-Z1B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60C76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C9C48D7"/>
    <w:multiLevelType w:val="multilevel"/>
    <w:tmpl w:val="44FE4586"/>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29316A94"/>
    <w:multiLevelType w:val="multilevel"/>
    <w:tmpl w:val="D7BA96A8"/>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3315671B"/>
    <w:multiLevelType w:val="hybridMultilevel"/>
    <w:tmpl w:val="9836F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1A697D"/>
    <w:multiLevelType w:val="multilevel"/>
    <w:tmpl w:val="3F3C2C7E"/>
    <w:lvl w:ilvl="0">
      <w:start w:val="6"/>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54C3BDB"/>
    <w:multiLevelType w:val="hybridMultilevel"/>
    <w:tmpl w:val="127C9A18"/>
    <w:lvl w:ilvl="0" w:tplc="8AD0C318">
      <w:start w:val="1"/>
      <w:numFmt w:val="bullet"/>
      <w:lvlText w:val="-"/>
      <w:lvlJc w:val="left"/>
      <w:pPr>
        <w:tabs>
          <w:tab w:val="num" w:pos="720"/>
        </w:tabs>
        <w:ind w:left="720" w:hanging="360"/>
      </w:pPr>
      <w:rPr>
        <w:rFonts w:ascii="Trebuchet MS" w:eastAsia="Times New Roman" w:hAnsi="Trebuchet MS" w:cs="Times New Roman" w:hint="default"/>
      </w:rPr>
    </w:lvl>
    <w:lvl w:ilvl="1" w:tplc="04050003" w:tentative="1">
      <w:start w:val="1"/>
      <w:numFmt w:val="bullet"/>
      <w:lvlText w:val="o"/>
      <w:lvlJc w:val="left"/>
      <w:pPr>
        <w:tabs>
          <w:tab w:val="num" w:pos="1440"/>
        </w:tabs>
        <w:ind w:left="1440" w:hanging="360"/>
      </w:pPr>
      <w:rPr>
        <w:rFonts w:ascii="Courier New" w:hAnsi="Courier New" w:cs="Tahoma"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Tahoma"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Tahoma"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B944B8"/>
    <w:multiLevelType w:val="multilevel"/>
    <w:tmpl w:val="0A663C56"/>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658C038B"/>
    <w:multiLevelType w:val="multilevel"/>
    <w:tmpl w:val="2200AC58"/>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7FEA189C"/>
    <w:multiLevelType w:val="hybridMultilevel"/>
    <w:tmpl w:val="78583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2"/>
  </w:num>
  <w:num w:numId="5">
    <w:abstractNumId w:val="1"/>
  </w:num>
  <w:num w:numId="6">
    <w:abstractNumId w:val="6"/>
  </w:num>
  <w:num w:numId="7">
    <w:abstractNumId w:val="3"/>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7C3"/>
    <w:rsid w:val="000567B6"/>
    <w:rsid w:val="00061202"/>
    <w:rsid w:val="000B704B"/>
    <w:rsid w:val="00100807"/>
    <w:rsid w:val="0011484C"/>
    <w:rsid w:val="00132D44"/>
    <w:rsid w:val="001345F2"/>
    <w:rsid w:val="0016635C"/>
    <w:rsid w:val="00183D6D"/>
    <w:rsid w:val="001C396D"/>
    <w:rsid w:val="001C619F"/>
    <w:rsid w:val="001F6E1B"/>
    <w:rsid w:val="00203E64"/>
    <w:rsid w:val="00206436"/>
    <w:rsid w:val="00234D4E"/>
    <w:rsid w:val="00252AF0"/>
    <w:rsid w:val="002669BF"/>
    <w:rsid w:val="002936F7"/>
    <w:rsid w:val="002B17C0"/>
    <w:rsid w:val="002D33BA"/>
    <w:rsid w:val="002F32F0"/>
    <w:rsid w:val="003063FA"/>
    <w:rsid w:val="003873A8"/>
    <w:rsid w:val="00393644"/>
    <w:rsid w:val="003B5038"/>
    <w:rsid w:val="003E6B0E"/>
    <w:rsid w:val="004205F0"/>
    <w:rsid w:val="004207C7"/>
    <w:rsid w:val="00454221"/>
    <w:rsid w:val="004822C3"/>
    <w:rsid w:val="004C4592"/>
    <w:rsid w:val="004D743F"/>
    <w:rsid w:val="004F74C1"/>
    <w:rsid w:val="005404C1"/>
    <w:rsid w:val="005736C1"/>
    <w:rsid w:val="0059676A"/>
    <w:rsid w:val="0064044D"/>
    <w:rsid w:val="00641533"/>
    <w:rsid w:val="0065110A"/>
    <w:rsid w:val="0067514D"/>
    <w:rsid w:val="0069095E"/>
    <w:rsid w:val="00750C8D"/>
    <w:rsid w:val="0079525D"/>
    <w:rsid w:val="007D20FB"/>
    <w:rsid w:val="0080685B"/>
    <w:rsid w:val="00811B76"/>
    <w:rsid w:val="00811FFB"/>
    <w:rsid w:val="00821B39"/>
    <w:rsid w:val="00827E26"/>
    <w:rsid w:val="008A431F"/>
    <w:rsid w:val="008D52F0"/>
    <w:rsid w:val="00940F4F"/>
    <w:rsid w:val="00980DAC"/>
    <w:rsid w:val="009E1531"/>
    <w:rsid w:val="00A34728"/>
    <w:rsid w:val="00A97D23"/>
    <w:rsid w:val="00AA3FBF"/>
    <w:rsid w:val="00AD219F"/>
    <w:rsid w:val="00AF0472"/>
    <w:rsid w:val="00AF25E9"/>
    <w:rsid w:val="00AF6A47"/>
    <w:rsid w:val="00B12619"/>
    <w:rsid w:val="00B66654"/>
    <w:rsid w:val="00BB5531"/>
    <w:rsid w:val="00BC45E5"/>
    <w:rsid w:val="00BE42EF"/>
    <w:rsid w:val="00BF20E8"/>
    <w:rsid w:val="00C861AD"/>
    <w:rsid w:val="00CB3A11"/>
    <w:rsid w:val="00CD7465"/>
    <w:rsid w:val="00CF6534"/>
    <w:rsid w:val="00D12A63"/>
    <w:rsid w:val="00D5247A"/>
    <w:rsid w:val="00D7043B"/>
    <w:rsid w:val="00D74FDE"/>
    <w:rsid w:val="00D832E4"/>
    <w:rsid w:val="00D86D8C"/>
    <w:rsid w:val="00DA0338"/>
    <w:rsid w:val="00DA2D83"/>
    <w:rsid w:val="00DC7C4B"/>
    <w:rsid w:val="00DF2FE1"/>
    <w:rsid w:val="00E241BF"/>
    <w:rsid w:val="00E52EB9"/>
    <w:rsid w:val="00E964CF"/>
    <w:rsid w:val="00EA1657"/>
    <w:rsid w:val="00ED2694"/>
    <w:rsid w:val="00EE1BB3"/>
    <w:rsid w:val="00F0616F"/>
    <w:rsid w:val="00F34D5F"/>
    <w:rsid w:val="00F5146E"/>
    <w:rsid w:val="00F64F6C"/>
    <w:rsid w:val="00F86594"/>
    <w:rsid w:val="00FC67C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5FCA67"/>
  <w14:defaultImageDpi w14:val="300"/>
  <w15:chartTrackingRefBased/>
  <w15:docId w15:val="{8A791ACC-5916-804C-A827-1E87C7F07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sz w:val="24"/>
      <w:szCs w:val="24"/>
      <w:lang w:eastAsia="cs-CZ"/>
    </w:rPr>
  </w:style>
  <w:style w:type="paragraph" w:styleId="Nadpis3">
    <w:name w:val="heading 3"/>
    <w:basedOn w:val="Normlny"/>
    <w:next w:val="Normlny"/>
    <w:link w:val="Nadpis3Char"/>
    <w:qFormat/>
    <w:rsid w:val="00BF20E8"/>
    <w:pPr>
      <w:keepNext/>
      <w:jc w:val="both"/>
      <w:outlineLvl w:val="2"/>
    </w:pPr>
    <w:rPr>
      <w:rFonts w:ascii="Arial" w:hAnsi="Arial"/>
      <w:i/>
      <w:iCs/>
      <w:sz w:val="20"/>
      <w:u w:val="single"/>
      <w:lang w:eastAsia="x-none"/>
    </w:rPr>
  </w:style>
  <w:style w:type="paragraph" w:styleId="Nadpis6">
    <w:name w:val="heading 6"/>
    <w:basedOn w:val="Normlny"/>
    <w:next w:val="Normlny"/>
    <w:link w:val="Nadpis6Char"/>
    <w:qFormat/>
    <w:rsid w:val="003873A8"/>
    <w:pPr>
      <w:spacing w:before="240" w:after="60"/>
      <w:outlineLvl w:val="5"/>
    </w:pPr>
    <w:rPr>
      <w:rFonts w:ascii="Cambria" w:eastAsia="MS Mincho" w:hAnsi="Cambria"/>
      <w:b/>
      <w:bCs/>
      <w:sz w:val="22"/>
      <w:szCs w:val="22"/>
    </w:rPr>
  </w:style>
  <w:style w:type="paragraph" w:styleId="Nadpis7">
    <w:name w:val="heading 7"/>
    <w:basedOn w:val="Normlny"/>
    <w:next w:val="Normlny"/>
    <w:link w:val="Nadpis7Char"/>
    <w:qFormat/>
    <w:rsid w:val="004205F0"/>
    <w:pPr>
      <w:spacing w:before="240" w:after="60"/>
      <w:outlineLvl w:val="6"/>
    </w:pPr>
    <w:rPr>
      <w:rFonts w:ascii="Cambria" w:eastAsia="MS Mincho" w:hAnsi="Cambri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pPr>
      <w:tabs>
        <w:tab w:val="center" w:pos="4153"/>
        <w:tab w:val="right" w:pos="8306"/>
      </w:tabs>
    </w:pPr>
  </w:style>
  <w:style w:type="paragraph" w:customStyle="1" w:styleId="Textbubliny1">
    <w:name w:val="Text bubliny1"/>
    <w:basedOn w:val="Normlny"/>
    <w:semiHidden/>
    <w:rPr>
      <w:rFonts w:ascii="Tahoma" w:hAnsi="Tahoma" w:cs="Tahoma"/>
      <w:sz w:val="16"/>
      <w:szCs w:val="16"/>
    </w:rPr>
  </w:style>
  <w:style w:type="character" w:styleId="Odkaznakomentr">
    <w:name w:val="annotation reference"/>
    <w:semiHidden/>
    <w:rPr>
      <w:sz w:val="16"/>
      <w:szCs w:val="16"/>
    </w:rPr>
  </w:style>
  <w:style w:type="paragraph" w:styleId="Textkomentra">
    <w:name w:val="annotation text"/>
    <w:basedOn w:val="Normlny"/>
    <w:semiHidden/>
    <w:rPr>
      <w:sz w:val="20"/>
      <w:szCs w:val="20"/>
    </w:rPr>
  </w:style>
  <w:style w:type="paragraph" w:customStyle="1" w:styleId="Predmetkomentra1">
    <w:name w:val="Predmet komentára1"/>
    <w:basedOn w:val="Textkomentra"/>
    <w:next w:val="Textkomentra"/>
    <w:semiHidden/>
    <w:rPr>
      <w:b/>
      <w:bCs/>
    </w:rPr>
  </w:style>
  <w:style w:type="paragraph" w:styleId="truktradokumentu">
    <w:name w:val="Document Map"/>
    <w:basedOn w:val="Normlny"/>
    <w:semiHidden/>
    <w:pPr>
      <w:shd w:val="clear" w:color="auto" w:fill="000080"/>
    </w:pPr>
    <w:rPr>
      <w:rFonts w:ascii="Tahoma" w:hAnsi="Tahoma" w:cs="Tahoma"/>
      <w:sz w:val="20"/>
      <w:szCs w:val="20"/>
    </w:rPr>
  </w:style>
  <w:style w:type="paragraph" w:styleId="Pta">
    <w:name w:val="footer"/>
    <w:basedOn w:val="Normlny"/>
    <w:pPr>
      <w:tabs>
        <w:tab w:val="center" w:pos="4153"/>
        <w:tab w:val="right" w:pos="8306"/>
      </w:tabs>
    </w:pPr>
  </w:style>
  <w:style w:type="paragraph" w:styleId="Textbubliny">
    <w:name w:val="Balloon Text"/>
    <w:basedOn w:val="Normlny"/>
    <w:semiHidden/>
    <w:rPr>
      <w:rFonts w:ascii="Tahoma" w:hAnsi="Tahoma" w:cs="Tahoma"/>
      <w:sz w:val="16"/>
      <w:szCs w:val="16"/>
    </w:rPr>
  </w:style>
  <w:style w:type="paragraph" w:customStyle="1" w:styleId="Predmetkomentra2">
    <w:name w:val="Predmet komentára2"/>
    <w:basedOn w:val="Textkomentra"/>
    <w:next w:val="Textkomentra"/>
    <w:semiHidden/>
    <w:rPr>
      <w:b/>
      <w:bCs/>
    </w:rPr>
  </w:style>
  <w:style w:type="paragraph" w:styleId="Zkladntext2">
    <w:name w:val="Body Text 2"/>
    <w:basedOn w:val="Normlny"/>
    <w:link w:val="Zkladntext2Char"/>
    <w:rsid w:val="00D7043B"/>
    <w:pPr>
      <w:jc w:val="both"/>
    </w:pPr>
    <w:rPr>
      <w:rFonts w:ascii="Arial" w:hAnsi="Arial"/>
      <w:sz w:val="20"/>
      <w:lang w:eastAsia="x-none"/>
    </w:rPr>
  </w:style>
  <w:style w:type="character" w:customStyle="1" w:styleId="Zkladntext2Char">
    <w:name w:val="Základný text 2 Char"/>
    <w:link w:val="Zkladntext2"/>
    <w:rsid w:val="00D7043B"/>
    <w:rPr>
      <w:rFonts w:ascii="Arial" w:hAnsi="Arial" w:cs="Arial"/>
      <w:szCs w:val="24"/>
      <w:lang w:val="sk-SK"/>
    </w:rPr>
  </w:style>
  <w:style w:type="paragraph" w:styleId="Zkladntext">
    <w:name w:val="Body Text"/>
    <w:basedOn w:val="Normlny"/>
    <w:link w:val="ZkladntextChar"/>
    <w:rsid w:val="00D7043B"/>
    <w:pPr>
      <w:spacing w:after="120"/>
    </w:pPr>
  </w:style>
  <w:style w:type="character" w:customStyle="1" w:styleId="ZkladntextChar">
    <w:name w:val="Základný text Char"/>
    <w:link w:val="Zkladntext"/>
    <w:rsid w:val="00D7043B"/>
    <w:rPr>
      <w:sz w:val="24"/>
      <w:szCs w:val="24"/>
      <w:lang w:val="sk-SK" w:eastAsia="cs-CZ"/>
    </w:rPr>
  </w:style>
  <w:style w:type="paragraph" w:customStyle="1" w:styleId="A-TableText">
    <w:name w:val="A-Table Text"/>
    <w:rsid w:val="00D7043B"/>
    <w:pPr>
      <w:spacing w:before="60" w:after="60"/>
    </w:pPr>
    <w:rPr>
      <w:sz w:val="22"/>
      <w:lang w:val="en-GB" w:eastAsia="en-US"/>
    </w:rPr>
  </w:style>
  <w:style w:type="character" w:customStyle="1" w:styleId="Nadpis3Char">
    <w:name w:val="Nadpis 3 Char"/>
    <w:link w:val="Nadpis3"/>
    <w:rsid w:val="00BF20E8"/>
    <w:rPr>
      <w:rFonts w:ascii="Arial" w:hAnsi="Arial" w:cs="Arial"/>
      <w:i/>
      <w:iCs/>
      <w:szCs w:val="24"/>
      <w:u w:val="single"/>
      <w:lang w:val="sk-SK"/>
    </w:rPr>
  </w:style>
  <w:style w:type="character" w:customStyle="1" w:styleId="Nadpis6Char">
    <w:name w:val="Nadpis 6 Char"/>
    <w:link w:val="Nadpis6"/>
    <w:rsid w:val="003873A8"/>
    <w:rPr>
      <w:rFonts w:ascii="Cambria" w:eastAsia="MS Mincho" w:hAnsi="Cambria" w:cs="Times New Roman"/>
      <w:b/>
      <w:bCs/>
      <w:sz w:val="22"/>
      <w:szCs w:val="22"/>
      <w:lang w:val="sk-SK" w:eastAsia="cs-CZ"/>
    </w:rPr>
  </w:style>
  <w:style w:type="character" w:customStyle="1" w:styleId="Nadpis7Char">
    <w:name w:val="Nadpis 7 Char"/>
    <w:link w:val="Nadpis7"/>
    <w:semiHidden/>
    <w:rsid w:val="004205F0"/>
    <w:rPr>
      <w:rFonts w:ascii="Cambria" w:eastAsia="MS Mincho" w:hAnsi="Cambria" w:cs="Times New Roman"/>
      <w:sz w:val="24"/>
      <w:szCs w:val="24"/>
      <w:lang w:val="sk-SK" w:eastAsia="cs-CZ"/>
    </w:rPr>
  </w:style>
  <w:style w:type="paragraph" w:customStyle="1" w:styleId="Farebnpodfarbeniezvraznenie11">
    <w:name w:val="Farebné podfarbenie – zvýraznenie 11"/>
    <w:hidden/>
    <w:uiPriority w:val="71"/>
    <w:rsid w:val="00CF6534"/>
    <w:rPr>
      <w:sz w:val="24"/>
      <w:szCs w:val="24"/>
      <w:lang w:eastAsia="cs-CZ"/>
    </w:rPr>
  </w:style>
  <w:style w:type="character" w:styleId="slostrany">
    <w:name w:val="page number"/>
    <w:rsid w:val="004822C3"/>
  </w:style>
  <w:style w:type="character" w:styleId="Hypertextovprepojenie">
    <w:name w:val="Hyperlink"/>
    <w:rsid w:val="00811B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docs/en_GB/document_library/Template_or_form/2013/03/WC500139752.doc"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85DA7E-02F5-4A99-AA94-D1DAB97C8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5285</Words>
  <Characters>30131</Characters>
  <Application>Microsoft Office Word</Application>
  <DocSecurity>0</DocSecurity>
  <Lines>251</Lines>
  <Paragraphs>70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Príloha č</vt:lpstr>
      <vt:lpstr>Príloha č</vt:lpstr>
    </vt:vector>
  </TitlesOfParts>
  <Company/>
  <LinksUpToDate>false</LinksUpToDate>
  <CharactersWithSpaces>35346</CharactersWithSpaces>
  <SharedDoc>false</SharedDoc>
  <HLinks>
    <vt:vector size="6" baseType="variant">
      <vt:variant>
        <vt:i4>2359399</vt:i4>
      </vt:variant>
      <vt:variant>
        <vt:i4>0</vt:i4>
      </vt:variant>
      <vt:variant>
        <vt:i4>0</vt:i4>
      </vt:variant>
      <vt:variant>
        <vt:i4>5</vt:i4>
      </vt:variant>
      <vt:variant>
        <vt:lpwstr>http://www.ema.europa.eu/docs/en_GB/document_library/Template_or_form/2013/03/WC500139752.doc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dc:subject/>
  <dc:creator>Barborka H</dc:creator>
  <cp:keywords/>
  <dc:description/>
  <cp:lastModifiedBy>Kubáčková, Jaroslava</cp:lastModifiedBy>
  <cp:revision>4</cp:revision>
  <cp:lastPrinted>2018-03-14T12:05:00Z</cp:lastPrinted>
  <dcterms:created xsi:type="dcterms:W3CDTF">2021-03-17T08:56:00Z</dcterms:created>
  <dcterms:modified xsi:type="dcterms:W3CDTF">2021-03-17T08:59:00Z</dcterms:modified>
</cp:coreProperties>
</file>